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A30BA">
      <w:pPr>
        <w:widowControl/>
        <w:spacing w:line="339" w:lineRule="auto"/>
        <w:ind w:firstLine="0" w:firstLineChars="0"/>
        <w:jc w:val="center"/>
        <w:rPr>
          <w:rFonts w:hint="eastAsia" w:eastAsia="微软雅黑"/>
          <w:sz w:val="72"/>
          <w:szCs w:val="72"/>
          <w:lang w:eastAsia="zh-CN"/>
        </w:rPr>
      </w:pPr>
      <w:r>
        <w:rPr>
          <w:rFonts w:hint="eastAsia" w:eastAsia="微软雅黑"/>
          <w:sz w:val="72"/>
          <w:szCs w:val="72"/>
          <w:lang w:eastAsia="zh-CN"/>
        </w:rPr>
        <w:t>中国职业教育质量报告</w:t>
      </w:r>
    </w:p>
    <w:p w14:paraId="27AD048B">
      <w:pPr>
        <w:widowControl/>
        <w:spacing w:line="339" w:lineRule="auto"/>
        <w:ind w:firstLine="0" w:firstLineChars="0"/>
        <w:jc w:val="center"/>
        <w:rPr>
          <w:rFonts w:hint="default" w:eastAsia="微软雅黑"/>
          <w:sz w:val="72"/>
          <w:szCs w:val="72"/>
          <w:lang w:val="en-US" w:eastAsia="zh-CN"/>
        </w:rPr>
      </w:pPr>
      <w:r>
        <w:rPr>
          <w:rFonts w:hint="eastAsia" w:eastAsia="微软雅黑"/>
          <w:sz w:val="72"/>
          <w:szCs w:val="72"/>
          <w:lang w:val="en-US" w:eastAsia="zh-CN"/>
        </w:rPr>
        <w:t>2025年度</w:t>
      </w:r>
    </w:p>
    <w:p w14:paraId="479D5205">
      <w:pPr>
        <w:widowControl/>
        <w:spacing w:line="339" w:lineRule="auto"/>
        <w:ind w:firstLine="0" w:firstLineChars="0"/>
        <w:jc w:val="center"/>
        <w:rPr>
          <w:rFonts w:hint="eastAsia" w:eastAsia="微软雅黑"/>
          <w:sz w:val="72"/>
          <w:szCs w:val="72"/>
          <w:lang w:eastAsia="zh-CN"/>
        </w:rPr>
      </w:pPr>
    </w:p>
    <w:p w14:paraId="64253D1B">
      <w:pPr>
        <w:widowControl/>
        <w:spacing w:line="339" w:lineRule="auto"/>
        <w:ind w:firstLine="0" w:firstLineChars="0"/>
        <w:jc w:val="center"/>
        <w:rPr>
          <w:rFonts w:hint="eastAsia" w:eastAsia="微软雅黑"/>
          <w:sz w:val="72"/>
          <w:szCs w:val="72"/>
          <w:lang w:eastAsia="zh-CN"/>
        </w:rPr>
      </w:pPr>
    </w:p>
    <w:p w14:paraId="0580F458">
      <w:pPr>
        <w:widowControl/>
        <w:spacing w:line="339" w:lineRule="auto"/>
        <w:ind w:firstLine="0" w:firstLineChars="0"/>
        <w:jc w:val="center"/>
        <w:rPr>
          <w:rFonts w:hint="eastAsia" w:eastAsia="微软雅黑"/>
          <w:sz w:val="72"/>
          <w:szCs w:val="72"/>
          <w:lang w:eastAsia="zh-CN"/>
        </w:rPr>
      </w:pPr>
    </w:p>
    <w:p w14:paraId="66F6CA84">
      <w:pPr>
        <w:widowControl/>
        <w:spacing w:line="339" w:lineRule="auto"/>
        <w:ind w:firstLine="0" w:firstLineChars="0"/>
        <w:jc w:val="center"/>
        <w:rPr>
          <w:rFonts w:hint="eastAsia" w:eastAsia="微软雅黑"/>
          <w:sz w:val="72"/>
          <w:szCs w:val="72"/>
          <w:lang w:eastAsia="zh-CN"/>
        </w:rPr>
      </w:pPr>
    </w:p>
    <w:p w14:paraId="1608082C">
      <w:pPr>
        <w:widowControl/>
        <w:spacing w:line="339" w:lineRule="auto"/>
        <w:ind w:firstLine="0" w:firstLineChars="0"/>
        <w:jc w:val="center"/>
        <w:rPr>
          <w:rFonts w:hint="eastAsia" w:eastAsia="微软雅黑"/>
          <w:sz w:val="72"/>
          <w:szCs w:val="72"/>
          <w:lang w:eastAsia="zh-CN"/>
        </w:rPr>
      </w:pPr>
    </w:p>
    <w:p w14:paraId="5243A58C">
      <w:pPr>
        <w:widowControl/>
        <w:spacing w:line="339" w:lineRule="auto"/>
        <w:ind w:firstLine="0" w:firstLineChars="0"/>
        <w:jc w:val="center"/>
        <w:rPr>
          <w:rFonts w:hint="eastAsia" w:eastAsia="微软雅黑"/>
          <w:sz w:val="72"/>
          <w:szCs w:val="72"/>
          <w:lang w:eastAsia="zh-CN"/>
        </w:rPr>
      </w:pPr>
    </w:p>
    <w:p w14:paraId="21233B44">
      <w:pPr>
        <w:widowControl/>
        <w:spacing w:line="339" w:lineRule="auto"/>
        <w:ind w:firstLine="0" w:firstLineChars="0"/>
        <w:jc w:val="center"/>
        <w:rPr>
          <w:rFonts w:hint="eastAsia" w:eastAsia="微软雅黑"/>
          <w:sz w:val="72"/>
          <w:szCs w:val="72"/>
          <w:lang w:eastAsia="zh-CN"/>
        </w:rPr>
      </w:pPr>
    </w:p>
    <w:p w14:paraId="7838EDEE">
      <w:pPr>
        <w:keepNext w:val="0"/>
        <w:keepLines w:val="0"/>
        <w:pageBreakBefore w:val="0"/>
        <w:widowControl/>
        <w:kinsoku/>
        <w:wordWrap/>
        <w:overflowPunct/>
        <w:topLinePunct w:val="0"/>
        <w:autoSpaceDE/>
        <w:autoSpaceDN/>
        <w:bidi w:val="0"/>
        <w:adjustRightInd/>
        <w:snapToGrid/>
        <w:spacing w:line="560" w:lineRule="exact"/>
        <w:ind w:firstLine="2080" w:firstLineChars="400"/>
        <w:jc w:val="both"/>
        <w:textAlignment w:val="auto"/>
        <w:rPr>
          <w:rFonts w:hint="default" w:eastAsia="微软雅黑"/>
          <w:b/>
          <w:bCs/>
          <w:sz w:val="44"/>
          <w:szCs w:val="44"/>
          <w:lang w:val="en-US" w:eastAsia="zh-CN"/>
        </w:rPr>
      </w:pPr>
      <w:r>
        <w:rPr>
          <w:rFonts w:hint="eastAsia" w:eastAsia="微软雅黑"/>
          <w:sz w:val="52"/>
          <w:szCs w:val="52"/>
          <w:lang w:eastAsia="zh-CN"/>
        </w:rPr>
        <w:t>咸阳协和职业</w:t>
      </w:r>
      <w:r>
        <w:rPr>
          <w:rFonts w:hint="eastAsia" w:eastAsia="微软雅黑"/>
          <w:sz w:val="52"/>
          <w:szCs w:val="52"/>
          <w:lang w:val="en-US" w:eastAsia="zh-CN"/>
        </w:rPr>
        <w:t>学校</w:t>
      </w:r>
    </w:p>
    <w:p w14:paraId="6E9FAB3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E0E502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B028CFA">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4D7411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A3B6FE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197C6E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7151D34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E8E1F2B">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3A55BB62">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bookmarkStart w:id="51" w:name="_GoBack"/>
      <w:bookmarkEnd w:id="51"/>
    </w:p>
    <w:p w14:paraId="5701D4E0">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344B4555">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09C63C24">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r>
        <w:rPr>
          <w:rFonts w:hint="eastAsia" w:eastAsia="微软雅黑"/>
          <w:sz w:val="52"/>
          <w:szCs w:val="52"/>
          <w:lang w:val="en-US" w:eastAsia="zh-CN"/>
        </w:rPr>
        <w:t>年</w:t>
      </w:r>
      <w:r>
        <w:rPr>
          <w:rFonts w:hint="eastAsia" w:eastAsia="微软雅黑"/>
          <w:sz w:val="52"/>
          <w:szCs w:val="52"/>
          <w:lang w:eastAsia="zh-CN"/>
        </w:rPr>
        <w:t>报公开形式：学校官网</w:t>
      </w:r>
    </w:p>
    <w:p w14:paraId="7E6A49CA">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09C174AD">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default" w:eastAsia="微软雅黑"/>
          <w:sz w:val="52"/>
          <w:szCs w:val="52"/>
          <w:lang w:val="en-US" w:eastAsia="zh-CN"/>
        </w:rPr>
      </w:pPr>
      <w:r>
        <w:rPr>
          <w:rFonts w:hint="eastAsia" w:eastAsia="微软雅黑"/>
          <w:sz w:val="52"/>
          <w:szCs w:val="52"/>
          <w:lang w:eastAsia="zh-CN"/>
        </w:rPr>
        <w:t>网址：</w:t>
      </w:r>
      <w:r>
        <w:rPr>
          <w:rFonts w:hint="eastAsia" w:eastAsia="微软雅黑"/>
          <w:sz w:val="52"/>
          <w:szCs w:val="52"/>
          <w:lang w:val="en-US" w:eastAsia="zh-CN"/>
        </w:rPr>
        <w:t>http://www.xyxhzyxx.cn</w:t>
      </w:r>
    </w:p>
    <w:p w14:paraId="2F932678">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563057B9">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69751F1A">
      <w:pPr>
        <w:keepNext w:val="0"/>
        <w:keepLines w:val="0"/>
        <w:pageBreakBefore w:val="0"/>
        <w:widowControl/>
        <w:kinsoku/>
        <w:wordWrap/>
        <w:overflowPunct/>
        <w:topLinePunct w:val="0"/>
        <w:autoSpaceDE/>
        <w:autoSpaceDN/>
        <w:bidi w:val="0"/>
        <w:adjustRightInd/>
        <w:snapToGrid/>
        <w:spacing w:line="560" w:lineRule="exact"/>
        <w:ind w:firstLine="520" w:firstLineChars="100"/>
        <w:jc w:val="both"/>
        <w:textAlignment w:val="auto"/>
        <w:rPr>
          <w:rFonts w:hint="eastAsia" w:eastAsia="微软雅黑"/>
          <w:sz w:val="44"/>
          <w:szCs w:val="44"/>
          <w:lang w:eastAsia="zh-CN"/>
        </w:rPr>
      </w:pPr>
      <w:r>
        <w:rPr>
          <w:rFonts w:hint="eastAsia" w:eastAsia="微软雅黑"/>
          <w:sz w:val="52"/>
          <w:szCs w:val="52"/>
          <w:lang w:eastAsia="zh-CN"/>
        </w:rPr>
        <w:t>发布时间：</w:t>
      </w:r>
      <w:r>
        <w:rPr>
          <w:rFonts w:hint="eastAsia" w:eastAsia="微软雅黑"/>
          <w:sz w:val="52"/>
          <w:szCs w:val="52"/>
          <w:lang w:val="en-US" w:eastAsia="zh-CN"/>
        </w:rPr>
        <w:t>2025年12月10日</w:t>
      </w:r>
    </w:p>
    <w:p w14:paraId="2F00C453">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7029031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E392F1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90E1829">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355D70B">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2474035">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1FC4FC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2019CBF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A67E563">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E90DFD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2B3D3A8">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84BCBA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6FF95F6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r>
        <w:rPr>
          <w:rFonts w:hint="eastAsia" w:eastAsia="微软雅黑"/>
          <w:sz w:val="44"/>
          <w:szCs w:val="44"/>
          <w:lang w:eastAsia="zh-CN"/>
        </w:rPr>
        <w:drawing>
          <wp:anchor distT="0" distB="0" distL="114300" distR="114300" simplePos="0" relativeHeight="251703296" behindDoc="0" locked="0" layoutInCell="1" allowOverlap="1">
            <wp:simplePos x="0" y="0"/>
            <wp:positionH relativeFrom="column">
              <wp:posOffset>120650</wp:posOffset>
            </wp:positionH>
            <wp:positionV relativeFrom="paragraph">
              <wp:posOffset>265430</wp:posOffset>
            </wp:positionV>
            <wp:extent cx="5269865" cy="7247255"/>
            <wp:effectExtent l="0" t="0" r="6985" b="10795"/>
            <wp:wrapNone/>
            <wp:docPr id="50" name="图片 50" descr="f1e978d1e01f62e0ebb082b0b30c3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1e978d1e01f62e0ebb082b0b30c393e"/>
                    <pic:cNvPicPr>
                      <a:picLocks noChangeAspect="1"/>
                    </pic:cNvPicPr>
                  </pic:nvPicPr>
                  <pic:blipFill>
                    <a:blip r:embed="rId7"/>
                    <a:stretch>
                      <a:fillRect/>
                    </a:stretch>
                  </pic:blipFill>
                  <pic:spPr>
                    <a:xfrm>
                      <a:off x="0" y="0"/>
                      <a:ext cx="5269865" cy="7247255"/>
                    </a:xfrm>
                    <a:prstGeom prst="rect">
                      <a:avLst/>
                    </a:prstGeom>
                  </pic:spPr>
                </pic:pic>
              </a:graphicData>
            </a:graphic>
          </wp:anchor>
        </w:drawing>
      </w:r>
    </w:p>
    <w:p w14:paraId="0D1ECE3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A621209">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2CA5C16">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D9437C8">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20DDD3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161A62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57A652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DAC67B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A2D531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9FA749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BDB0EC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50D08C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506A5A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E93EB5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F0A2DA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1DE343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0DA1DB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7413AF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C3FD30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C0D85D5">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6AD6DBBB">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FBD917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8CEAC38">
      <w:pPr>
        <w:ind w:left="0" w:leftChars="0" w:firstLine="0" w:firstLineChars="0"/>
        <w:jc w:val="both"/>
        <w:rPr>
          <w:rFonts w:hint="eastAsia"/>
          <w:b/>
          <w:bCs/>
          <w:sz w:val="32"/>
          <w:szCs w:val="32"/>
          <w:lang w:val="en-US" w:eastAsia="zh-CN"/>
        </w:rPr>
      </w:pPr>
    </w:p>
    <w:p w14:paraId="30421A01">
      <w:pPr>
        <w:ind w:left="0" w:leftChars="0" w:firstLine="0" w:firstLineChars="0"/>
        <w:jc w:val="center"/>
        <w:rPr>
          <w:rFonts w:hint="eastAsia"/>
          <w:b/>
          <w:bCs/>
          <w:sz w:val="32"/>
          <w:szCs w:val="32"/>
          <w:lang w:val="en-US" w:eastAsia="zh-CN"/>
        </w:rPr>
      </w:pPr>
      <w:r>
        <w:rPr>
          <w:rFonts w:hint="eastAsia"/>
          <w:b/>
          <w:bCs/>
          <w:sz w:val="32"/>
          <w:szCs w:val="32"/>
          <w:lang w:val="en-US" w:eastAsia="zh-CN"/>
        </w:rPr>
        <w:t>前言</w:t>
      </w:r>
    </w:p>
    <w:p w14:paraId="2DCB005B">
      <w:pPr>
        <w:jc w:val="center"/>
        <w:rPr>
          <w:rFonts w:hint="eastAsia"/>
          <w:b/>
          <w:bCs/>
          <w:sz w:val="32"/>
          <w:szCs w:val="32"/>
          <w:lang w:val="en-US" w:eastAsia="zh-CN"/>
        </w:rPr>
      </w:pPr>
    </w:p>
    <w:p w14:paraId="7C300D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时代发展日新月异，科技革新迭代加速，中等职业教育在技能人才供给、产业发展赋能、社会进步推动中的作用愈发凸显。咸阳协和职业学校作为扎根咸阳的职业教育践行者，始终坚守办学初心，旨在全面复盘学校教育教学、人才培养、</w:t>
      </w:r>
      <w:r>
        <w:rPr>
          <w:rFonts w:hint="eastAsia" w:ascii="方正仿宋_GB2312" w:hAnsi="方正仿宋_GB2312" w:eastAsia="方正仿宋_GB2312" w:cs="方正仿宋_GB2312"/>
          <w:sz w:val="32"/>
          <w:szCs w:val="32"/>
          <w:lang w:val="en-US" w:eastAsia="zh-CN"/>
        </w:rPr>
        <w:t>服务贡献、文化贡献</w:t>
      </w:r>
      <w:r>
        <w:rPr>
          <w:rFonts w:hint="eastAsia" w:ascii="方正仿宋_GB2312" w:hAnsi="方正仿宋_GB2312" w:eastAsia="方正仿宋_GB2312" w:cs="方正仿宋_GB2312"/>
          <w:sz w:val="32"/>
          <w:szCs w:val="32"/>
        </w:rPr>
        <w:t>等方面的成效，凝练办学经验，正视发展短板，为后续办学方向优化、改革举措落地提供坚实参考。</w:t>
      </w:r>
    </w:p>
    <w:p w14:paraId="2EC996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在202</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lang w:eastAsia="zh-CN"/>
        </w:rPr>
        <w:t>年的中职教育质量年度报告中，</w:t>
      </w:r>
      <w:r>
        <w:rPr>
          <w:rFonts w:hint="eastAsia" w:ascii="方正仿宋_GB2312" w:hAnsi="方正仿宋_GB2312" w:eastAsia="方正仿宋_GB2312" w:cs="方正仿宋_GB2312"/>
          <w:sz w:val="32"/>
          <w:szCs w:val="32"/>
        </w:rPr>
        <w:t>紧扣教育教学核心环节与人才培养关键领域，</w:t>
      </w:r>
      <w:r>
        <w:rPr>
          <w:rFonts w:hint="eastAsia" w:ascii="方正仿宋_GB2312" w:hAnsi="方正仿宋_GB2312" w:eastAsia="方正仿宋_GB2312" w:cs="方正仿宋_GB2312"/>
          <w:sz w:val="32"/>
          <w:szCs w:val="32"/>
          <w:lang w:val="en-US" w:eastAsia="zh-CN"/>
        </w:rPr>
        <w:t>详实</w:t>
      </w:r>
      <w:r>
        <w:rPr>
          <w:rFonts w:hint="eastAsia" w:ascii="方正仿宋_GB2312" w:hAnsi="方正仿宋_GB2312" w:eastAsia="方正仿宋_GB2312" w:cs="方正仿宋_GB2312"/>
          <w:sz w:val="32"/>
          <w:szCs w:val="32"/>
        </w:rPr>
        <w:t>记录学校在</w:t>
      </w:r>
      <w:r>
        <w:rPr>
          <w:rFonts w:hint="eastAsia" w:ascii="方正仿宋_GB2312" w:hAnsi="方正仿宋_GB2312" w:eastAsia="方正仿宋_GB2312" w:cs="方正仿宋_GB2312"/>
          <w:sz w:val="32"/>
          <w:szCs w:val="32"/>
          <w:lang w:val="en-US" w:eastAsia="zh-CN"/>
        </w:rPr>
        <w:t>服务贡献、文化传承、产教融合</w:t>
      </w:r>
      <w:r>
        <w:rPr>
          <w:rFonts w:hint="eastAsia" w:ascii="方正仿宋_GB2312" w:hAnsi="方正仿宋_GB2312" w:eastAsia="方正仿宋_GB2312" w:cs="方正仿宋_GB2312"/>
          <w:sz w:val="32"/>
          <w:szCs w:val="32"/>
        </w:rPr>
        <w:t>等方面的创新实践，总结教育教学改革的经验</w:t>
      </w:r>
      <w:r>
        <w:rPr>
          <w:rFonts w:hint="eastAsia" w:ascii="方正仿宋_GB2312" w:hAnsi="方正仿宋_GB2312" w:eastAsia="方正仿宋_GB2312" w:cs="方正仿宋_GB2312"/>
          <w:sz w:val="32"/>
          <w:szCs w:val="32"/>
          <w:lang w:val="en-US" w:eastAsia="zh-CN"/>
        </w:rPr>
        <w:t>做法</w:t>
      </w:r>
      <w:r>
        <w:rPr>
          <w:rFonts w:hint="eastAsia" w:ascii="方正仿宋_GB2312" w:hAnsi="方正仿宋_GB2312" w:eastAsia="方正仿宋_GB2312" w:cs="方正仿宋_GB2312"/>
          <w:sz w:val="32"/>
          <w:szCs w:val="32"/>
        </w:rPr>
        <w:t>，客观剖析办学过程中面临的困难与不足，为精准契合新时代技能人才标准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推动学校办学水平持续提升增添新活力</w:t>
      </w:r>
      <w:r>
        <w:rPr>
          <w:rFonts w:hint="eastAsia" w:ascii="方正仿宋_GB2312" w:hAnsi="方正仿宋_GB2312" w:eastAsia="方正仿宋_GB2312" w:cs="方正仿宋_GB2312"/>
          <w:sz w:val="32"/>
          <w:szCs w:val="32"/>
          <w:lang w:eastAsia="zh-CN"/>
        </w:rPr>
        <w:t>。</w:t>
      </w:r>
    </w:p>
    <w:p w14:paraId="077F6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p>
    <w:p w14:paraId="1E9417A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6F7ADE8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7C040E8">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9E685C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7CC6A55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005E4D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4523CE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F55041B">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8C7D15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44"/>
          <w:szCs w:val="44"/>
          <w:lang w:val="en-US" w:eastAsia="zh-CN" w:bidi="ar-SA"/>
        </w:rPr>
      </w:pPr>
    </w:p>
    <w:p w14:paraId="2BB0D03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44"/>
          <w:szCs w:val="44"/>
          <w:lang w:val="en-US" w:eastAsia="zh-CN" w:bidi="ar-SA"/>
        </w:rPr>
      </w:pPr>
    </w:p>
    <w:sdt>
      <w:sdtPr>
        <w:rPr>
          <w:rFonts w:ascii="宋体" w:hAnsi="宋体" w:eastAsia="宋体" w:cs="Times New Roman"/>
          <w:kern w:val="2"/>
          <w:sz w:val="21"/>
          <w:szCs w:val="24"/>
          <w:lang w:val="en-US" w:eastAsia="zh-CN" w:bidi="ar-SA"/>
        </w:rPr>
        <w:id w:val="147479420"/>
        <w15:color w:val="DBDBDB"/>
        <w:docPartObj>
          <w:docPartGallery w:val="Table of Contents"/>
          <w:docPartUnique/>
        </w:docPartObj>
      </w:sdtPr>
      <w:sdtEndPr>
        <w:rPr>
          <w:rFonts w:hint="eastAsia" w:ascii="Times New Roman" w:hAnsi="Times New Roman" w:eastAsia="微软雅黑" w:cs="Times New Roman"/>
          <w:kern w:val="2"/>
          <w:sz w:val="32"/>
          <w:szCs w:val="44"/>
          <w:lang w:val="en-US" w:eastAsia="zh-CN" w:bidi="ar-SA"/>
        </w:rPr>
      </w:sdtEndPr>
      <w:sdtContent>
        <w:p w14:paraId="3B60176E">
          <w:pPr>
            <w:spacing w:before="0" w:beforeLines="0" w:after="0" w:afterLines="0" w:line="240" w:lineRule="auto"/>
            <w:ind w:left="0" w:leftChars="0" w:right="0" w:rightChars="0" w:firstLine="0" w:firstLineChars="0"/>
            <w:jc w:val="center"/>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目录</w:t>
          </w:r>
        </w:p>
        <w:p w14:paraId="58AA1E27">
          <w:pPr>
            <w:pStyle w:val="8"/>
            <w:tabs>
              <w:tab w:val="right" w:leader="dot" w:pos="8306"/>
            </w:tabs>
          </w:pPr>
          <w:r>
            <w:rPr>
              <w:rFonts w:hint="eastAsia" w:ascii="Times New Roman" w:hAnsi="Times New Roman" w:eastAsia="微软雅黑" w:cs="Times New Roman"/>
              <w:kern w:val="2"/>
              <w:sz w:val="32"/>
              <w:szCs w:val="44"/>
              <w:lang w:val="en-US" w:eastAsia="zh-CN" w:bidi="ar-SA"/>
            </w:rPr>
            <w:fldChar w:fldCharType="begin"/>
          </w:r>
          <w:r>
            <w:rPr>
              <w:rFonts w:hint="eastAsia" w:ascii="Times New Roman" w:hAnsi="Times New Roman" w:eastAsia="微软雅黑" w:cs="Times New Roman"/>
              <w:kern w:val="2"/>
              <w:sz w:val="32"/>
              <w:szCs w:val="44"/>
              <w:lang w:val="en-US" w:eastAsia="zh-CN" w:bidi="ar-SA"/>
            </w:rPr>
            <w:instrText xml:space="preserve">TOC \o "1-3" \h \u </w:instrText>
          </w:r>
          <w:r>
            <w:rPr>
              <w:rFonts w:hint="eastAsia" w:ascii="Times New Roman" w:hAnsi="Times New Roman" w:eastAsia="微软雅黑" w:cs="Times New Roman"/>
              <w:kern w:val="2"/>
              <w:sz w:val="32"/>
              <w:szCs w:val="44"/>
              <w:lang w:val="en-US" w:eastAsia="zh-CN" w:bidi="ar-SA"/>
            </w:rPr>
            <w:fldChar w:fldCharType="separate"/>
          </w: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_Toc4515 </w:instrText>
          </w:r>
          <w:r>
            <w:rPr>
              <w:rFonts w:hint="eastAsia" w:ascii="Times New Roman" w:hAnsi="Times New Roman" w:eastAsia="微软雅黑" w:cs="Times New Roman"/>
              <w:kern w:val="2"/>
              <w:szCs w:val="44"/>
              <w:lang w:val="en-US" w:eastAsia="zh-CN" w:bidi="ar-SA"/>
            </w:rPr>
            <w:fldChar w:fldCharType="separate"/>
          </w:r>
          <w:r>
            <w:rPr>
              <w:rFonts w:hint="eastAsia"/>
              <w:lang w:eastAsia="zh-CN"/>
            </w:rPr>
            <w:t>一、基本情况</w:t>
          </w:r>
          <w:r>
            <w:tab/>
          </w:r>
          <w:r>
            <w:fldChar w:fldCharType="begin"/>
          </w:r>
          <w:r>
            <w:instrText xml:space="preserve"> PAGEREF _Toc4515 \h </w:instrText>
          </w:r>
          <w:r>
            <w:fldChar w:fldCharType="separate"/>
          </w:r>
          <w:r>
            <w:t>7</w:t>
          </w:r>
          <w:r>
            <w:fldChar w:fldCharType="end"/>
          </w:r>
          <w:r>
            <w:rPr>
              <w:rFonts w:hint="eastAsia" w:ascii="Times New Roman" w:hAnsi="Times New Roman" w:eastAsia="微软雅黑" w:cs="Times New Roman"/>
              <w:kern w:val="2"/>
              <w:szCs w:val="44"/>
              <w:lang w:val="en-US" w:eastAsia="zh-CN" w:bidi="ar-SA"/>
            </w:rPr>
            <w:fldChar w:fldCharType="end"/>
          </w:r>
        </w:p>
        <w:p w14:paraId="7CF4C71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_Toc8033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1.1 学校概况</w:t>
          </w:r>
          <w:r>
            <w:tab/>
          </w:r>
          <w:r>
            <w:fldChar w:fldCharType="begin"/>
          </w:r>
          <w:r>
            <w:instrText xml:space="preserve"> PAGEREF _Toc8033 \h </w:instrText>
          </w:r>
          <w:r>
            <w:fldChar w:fldCharType="separate"/>
          </w:r>
          <w:r>
            <w:t>7</w:t>
          </w:r>
          <w:r>
            <w:fldChar w:fldCharType="end"/>
          </w:r>
          <w:r>
            <w:rPr>
              <w:rFonts w:hint="eastAsia" w:ascii="Times New Roman" w:hAnsi="Times New Roman" w:eastAsia="微软雅黑" w:cs="Times New Roman"/>
              <w:kern w:val="2"/>
              <w:szCs w:val="44"/>
              <w:lang w:val="en-US" w:eastAsia="zh-CN" w:bidi="ar-SA"/>
            </w:rPr>
            <w:fldChar w:fldCharType="end"/>
          </w:r>
        </w:p>
        <w:p w14:paraId="297C3F90">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_Toc4149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1.2 专业设置</w:t>
          </w:r>
          <w:r>
            <w:tab/>
          </w:r>
          <w:r>
            <w:fldChar w:fldCharType="begin"/>
          </w:r>
          <w:r>
            <w:instrText xml:space="preserve"> PAGEREF _Toc4149 \h </w:instrText>
          </w:r>
          <w:r>
            <w:fldChar w:fldCharType="separate"/>
          </w:r>
          <w:r>
            <w:t>8</w:t>
          </w:r>
          <w:r>
            <w:fldChar w:fldCharType="end"/>
          </w:r>
          <w:r>
            <w:rPr>
              <w:rFonts w:hint="eastAsia" w:ascii="Times New Roman" w:hAnsi="Times New Roman" w:eastAsia="微软雅黑" w:cs="Times New Roman"/>
              <w:kern w:val="2"/>
              <w:szCs w:val="44"/>
              <w:lang w:val="en-US" w:eastAsia="zh-CN" w:bidi="ar-SA"/>
            </w:rPr>
            <w:fldChar w:fldCharType="end"/>
          </w:r>
        </w:p>
        <w:p w14:paraId="0FAE54F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_Toc26875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1.3学生情况</w:t>
          </w:r>
          <w:r>
            <w:tab/>
          </w:r>
          <w:r>
            <w:fldChar w:fldCharType="begin"/>
          </w:r>
          <w:r>
            <w:instrText xml:space="preserve"> PAGEREF _Toc26875 \h </w:instrText>
          </w:r>
          <w:r>
            <w:fldChar w:fldCharType="separate"/>
          </w:r>
          <w:r>
            <w:t>9</w:t>
          </w:r>
          <w:r>
            <w:fldChar w:fldCharType="end"/>
          </w:r>
          <w:r>
            <w:rPr>
              <w:rFonts w:hint="eastAsia" w:ascii="Times New Roman" w:hAnsi="Times New Roman" w:eastAsia="微软雅黑" w:cs="Times New Roman"/>
              <w:kern w:val="2"/>
              <w:szCs w:val="44"/>
              <w:lang w:val="en-US" w:eastAsia="zh-CN" w:bidi="ar-SA"/>
            </w:rPr>
            <w:fldChar w:fldCharType="end"/>
          </w:r>
        </w:p>
        <w:p w14:paraId="00B6CE1F">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_Toc12437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1.4 教师队伍</w:t>
          </w:r>
          <w:r>
            <w:tab/>
          </w:r>
          <w:r>
            <w:fldChar w:fldCharType="begin"/>
          </w:r>
          <w:r>
            <w:instrText xml:space="preserve"> PAGEREF _Toc12437 \h </w:instrText>
          </w:r>
          <w:r>
            <w:fldChar w:fldCharType="separate"/>
          </w:r>
          <w:r>
            <w:t>11</w:t>
          </w:r>
          <w:r>
            <w:fldChar w:fldCharType="end"/>
          </w:r>
          <w:r>
            <w:rPr>
              <w:rFonts w:hint="eastAsia" w:ascii="Times New Roman" w:hAnsi="Times New Roman" w:eastAsia="微软雅黑" w:cs="Times New Roman"/>
              <w:kern w:val="2"/>
              <w:szCs w:val="44"/>
              <w:lang w:val="en-US" w:eastAsia="zh-CN" w:bidi="ar-SA"/>
            </w:rPr>
            <w:fldChar w:fldCharType="end"/>
          </w:r>
        </w:p>
        <w:p w14:paraId="45870BA6">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_Toc10482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1.5 设施设备</w:t>
          </w:r>
          <w:r>
            <w:tab/>
          </w:r>
          <w:r>
            <w:fldChar w:fldCharType="begin"/>
          </w:r>
          <w:r>
            <w:instrText xml:space="preserve"> PAGEREF _Toc10482 \h </w:instrText>
          </w:r>
          <w:r>
            <w:fldChar w:fldCharType="separate"/>
          </w:r>
          <w:r>
            <w:t>12</w:t>
          </w:r>
          <w:r>
            <w:fldChar w:fldCharType="end"/>
          </w:r>
          <w:r>
            <w:rPr>
              <w:rFonts w:hint="eastAsia" w:ascii="Times New Roman" w:hAnsi="Times New Roman" w:eastAsia="微软雅黑" w:cs="Times New Roman"/>
              <w:kern w:val="2"/>
              <w:szCs w:val="44"/>
              <w:lang w:val="en-US" w:eastAsia="zh-CN" w:bidi="ar-SA"/>
            </w:rPr>
            <w:fldChar w:fldCharType="end"/>
          </w:r>
        </w:p>
        <w:p w14:paraId="3A427AD2">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_Toc17291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二、人才培养</w:t>
          </w:r>
          <w:r>
            <w:tab/>
          </w:r>
          <w:r>
            <w:fldChar w:fldCharType="begin"/>
          </w:r>
          <w:r>
            <w:instrText xml:space="preserve"> PAGEREF _Toc17291 \h </w:instrText>
          </w:r>
          <w:r>
            <w:fldChar w:fldCharType="separate"/>
          </w:r>
          <w:r>
            <w:t>21</w:t>
          </w:r>
          <w:r>
            <w:fldChar w:fldCharType="end"/>
          </w:r>
          <w:r>
            <w:rPr>
              <w:rFonts w:hint="eastAsia" w:ascii="Times New Roman" w:hAnsi="Times New Roman" w:eastAsia="微软雅黑" w:cs="Times New Roman"/>
              <w:kern w:val="2"/>
              <w:szCs w:val="44"/>
              <w:lang w:val="en-US" w:eastAsia="zh-CN" w:bidi="ar-SA"/>
            </w:rPr>
            <w:fldChar w:fldCharType="end"/>
          </w:r>
        </w:p>
        <w:p w14:paraId="0D8455A3">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_Toc21791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2.1</w:t>
          </w:r>
          <w:r>
            <w:rPr>
              <w:rFonts w:hint="eastAsia" w:ascii="方正楷体_GB2312" w:hAnsi="方正楷体_GB2312" w:eastAsia="方正楷体_GB2312" w:cs="方正楷体_GB2312"/>
              <w:bCs/>
              <w:lang w:eastAsia="zh-CN"/>
            </w:rPr>
            <w:t>党建引领</w:t>
          </w:r>
          <w:r>
            <w:tab/>
          </w:r>
          <w:r>
            <w:fldChar w:fldCharType="begin"/>
          </w:r>
          <w:r>
            <w:instrText xml:space="preserve"> PAGEREF _Toc21791 \h </w:instrText>
          </w:r>
          <w:r>
            <w:fldChar w:fldCharType="separate"/>
          </w:r>
          <w:r>
            <w:t>21</w:t>
          </w:r>
          <w:r>
            <w:fldChar w:fldCharType="end"/>
          </w:r>
          <w:r>
            <w:rPr>
              <w:rFonts w:hint="eastAsia" w:ascii="Times New Roman" w:hAnsi="Times New Roman" w:eastAsia="微软雅黑" w:cs="Times New Roman"/>
              <w:kern w:val="2"/>
              <w:szCs w:val="44"/>
              <w:lang w:val="en-US" w:eastAsia="zh-CN" w:bidi="ar-SA"/>
            </w:rPr>
            <w:fldChar w:fldCharType="end"/>
          </w:r>
        </w:p>
        <w:p w14:paraId="686CFC2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_Toc30455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2.2立德树人</w:t>
          </w:r>
          <w:r>
            <w:tab/>
          </w:r>
          <w:r>
            <w:fldChar w:fldCharType="begin"/>
          </w:r>
          <w:r>
            <w:instrText xml:space="preserve"> PAGEREF _Toc30455 \h </w:instrText>
          </w:r>
          <w:r>
            <w:fldChar w:fldCharType="separate"/>
          </w:r>
          <w:r>
            <w:t>22</w:t>
          </w:r>
          <w:r>
            <w:fldChar w:fldCharType="end"/>
          </w:r>
          <w:r>
            <w:rPr>
              <w:rFonts w:hint="eastAsia" w:ascii="Times New Roman" w:hAnsi="Times New Roman" w:eastAsia="微软雅黑" w:cs="Times New Roman"/>
              <w:kern w:val="2"/>
              <w:szCs w:val="44"/>
              <w:lang w:val="en-US" w:eastAsia="zh-CN" w:bidi="ar-SA"/>
            </w:rPr>
            <w:fldChar w:fldCharType="end"/>
          </w:r>
        </w:p>
        <w:p w14:paraId="3D1ED3A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_Toc23973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2.3专业建设</w:t>
          </w:r>
          <w:r>
            <w:tab/>
          </w:r>
          <w:r>
            <w:fldChar w:fldCharType="begin"/>
          </w:r>
          <w:r>
            <w:instrText xml:space="preserve"> PAGEREF _Toc23973 \h </w:instrText>
          </w:r>
          <w:r>
            <w:fldChar w:fldCharType="separate"/>
          </w:r>
          <w:r>
            <w:t>23</w:t>
          </w:r>
          <w:r>
            <w:fldChar w:fldCharType="end"/>
          </w:r>
          <w:r>
            <w:rPr>
              <w:rFonts w:hint="eastAsia" w:ascii="Times New Roman" w:hAnsi="Times New Roman" w:eastAsia="微软雅黑" w:cs="Times New Roman"/>
              <w:kern w:val="2"/>
              <w:szCs w:val="44"/>
              <w:lang w:val="en-US" w:eastAsia="zh-CN" w:bidi="ar-SA"/>
            </w:rPr>
            <w:fldChar w:fldCharType="end"/>
          </w:r>
        </w:p>
        <w:p w14:paraId="06A4B5A6">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_Toc5416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2.4 课程建设（含教材建设）</w:t>
          </w:r>
          <w:r>
            <w:tab/>
          </w:r>
          <w:r>
            <w:fldChar w:fldCharType="begin"/>
          </w:r>
          <w:r>
            <w:instrText xml:space="preserve"> PAGEREF _Toc5416 \h </w:instrText>
          </w:r>
          <w:r>
            <w:fldChar w:fldCharType="separate"/>
          </w:r>
          <w:r>
            <w:t>24</w:t>
          </w:r>
          <w:r>
            <w:fldChar w:fldCharType="end"/>
          </w:r>
          <w:r>
            <w:rPr>
              <w:rFonts w:hint="eastAsia" w:ascii="Times New Roman" w:hAnsi="Times New Roman" w:eastAsia="微软雅黑" w:cs="Times New Roman"/>
              <w:kern w:val="2"/>
              <w:szCs w:val="44"/>
              <w:lang w:val="en-US" w:eastAsia="zh-CN" w:bidi="ar-SA"/>
            </w:rPr>
            <w:fldChar w:fldCharType="end"/>
          </w:r>
        </w:p>
        <w:p w14:paraId="3040641E">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_Toc31591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2.5 教学改革（含数字化教学资源建设）</w:t>
          </w:r>
          <w:r>
            <w:tab/>
          </w:r>
          <w:r>
            <w:fldChar w:fldCharType="begin"/>
          </w:r>
          <w:r>
            <w:instrText xml:space="preserve"> PAGEREF _Toc31591 \h </w:instrText>
          </w:r>
          <w:r>
            <w:fldChar w:fldCharType="separate"/>
          </w:r>
          <w:r>
            <w:t>27</w:t>
          </w:r>
          <w:r>
            <w:fldChar w:fldCharType="end"/>
          </w:r>
          <w:r>
            <w:rPr>
              <w:rFonts w:hint="eastAsia" w:ascii="Times New Roman" w:hAnsi="Times New Roman" w:eastAsia="微软雅黑" w:cs="Times New Roman"/>
              <w:kern w:val="2"/>
              <w:szCs w:val="44"/>
              <w:lang w:val="en-US" w:eastAsia="zh-CN" w:bidi="ar-SA"/>
            </w:rPr>
            <w:fldChar w:fldCharType="end"/>
          </w:r>
        </w:p>
        <w:p w14:paraId="0292973F">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_Toc29697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2.6贯通培养</w:t>
          </w:r>
          <w:r>
            <w:tab/>
          </w:r>
          <w:r>
            <w:fldChar w:fldCharType="begin"/>
          </w:r>
          <w:r>
            <w:instrText xml:space="preserve"> PAGEREF _Toc29697 \h </w:instrText>
          </w:r>
          <w:r>
            <w:fldChar w:fldCharType="separate"/>
          </w:r>
          <w:r>
            <w:t>28</w:t>
          </w:r>
          <w:r>
            <w:fldChar w:fldCharType="end"/>
          </w:r>
          <w:r>
            <w:rPr>
              <w:rFonts w:hint="eastAsia" w:ascii="Times New Roman" w:hAnsi="Times New Roman" w:eastAsia="微软雅黑" w:cs="Times New Roman"/>
              <w:kern w:val="2"/>
              <w:szCs w:val="44"/>
              <w:lang w:val="en-US" w:eastAsia="zh-CN" w:bidi="ar-SA"/>
            </w:rPr>
            <w:fldChar w:fldCharType="end"/>
          </w:r>
        </w:p>
        <w:p w14:paraId="47C3972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_Toc21280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2.7科教融汇</w:t>
          </w:r>
          <w:r>
            <w:tab/>
          </w:r>
          <w:r>
            <w:fldChar w:fldCharType="begin"/>
          </w:r>
          <w:r>
            <w:instrText xml:space="preserve"> PAGEREF _Toc21280 \h </w:instrText>
          </w:r>
          <w:r>
            <w:fldChar w:fldCharType="separate"/>
          </w:r>
          <w:r>
            <w:t>28</w:t>
          </w:r>
          <w:r>
            <w:fldChar w:fldCharType="end"/>
          </w:r>
          <w:r>
            <w:rPr>
              <w:rFonts w:hint="eastAsia" w:ascii="Times New Roman" w:hAnsi="Times New Roman" w:eastAsia="微软雅黑" w:cs="Times New Roman"/>
              <w:kern w:val="2"/>
              <w:szCs w:val="44"/>
              <w:lang w:val="en-US" w:eastAsia="zh-CN" w:bidi="ar-SA"/>
            </w:rPr>
            <w:fldChar w:fldCharType="end"/>
          </w:r>
        </w:p>
        <w:p w14:paraId="4577EDF7">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_Toc14890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2.8创新创业</w:t>
          </w:r>
          <w:r>
            <w:tab/>
          </w:r>
          <w:r>
            <w:fldChar w:fldCharType="begin"/>
          </w:r>
          <w:r>
            <w:instrText xml:space="preserve"> PAGEREF _Toc14890 \h </w:instrText>
          </w:r>
          <w:r>
            <w:fldChar w:fldCharType="separate"/>
          </w:r>
          <w:r>
            <w:t>29</w:t>
          </w:r>
          <w:r>
            <w:fldChar w:fldCharType="end"/>
          </w:r>
          <w:r>
            <w:rPr>
              <w:rFonts w:hint="eastAsia" w:ascii="Times New Roman" w:hAnsi="Times New Roman" w:eastAsia="微软雅黑" w:cs="Times New Roman"/>
              <w:kern w:val="2"/>
              <w:szCs w:val="44"/>
              <w:lang w:val="en-US" w:eastAsia="zh-CN" w:bidi="ar-SA"/>
            </w:rPr>
            <w:fldChar w:fldCharType="end"/>
          </w:r>
        </w:p>
        <w:p w14:paraId="1B6EAF3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_Toc6732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2.9 技能大赛</w:t>
          </w:r>
          <w:r>
            <w:tab/>
          </w:r>
          <w:r>
            <w:fldChar w:fldCharType="begin"/>
          </w:r>
          <w:r>
            <w:instrText xml:space="preserve"> PAGEREF _Toc6732 \h </w:instrText>
          </w:r>
          <w:r>
            <w:fldChar w:fldCharType="separate"/>
          </w:r>
          <w:r>
            <w:t>30</w:t>
          </w:r>
          <w:r>
            <w:fldChar w:fldCharType="end"/>
          </w:r>
          <w:r>
            <w:rPr>
              <w:rFonts w:hint="eastAsia" w:ascii="Times New Roman" w:hAnsi="Times New Roman" w:eastAsia="微软雅黑" w:cs="Times New Roman"/>
              <w:kern w:val="2"/>
              <w:szCs w:val="44"/>
              <w:lang w:val="en-US" w:eastAsia="zh-CN" w:bidi="ar-SA"/>
            </w:rPr>
            <w:fldChar w:fldCharType="end"/>
          </w:r>
        </w:p>
        <w:p w14:paraId="409C27F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_Toc4827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2.10 就业质量</w:t>
          </w:r>
          <w:r>
            <w:tab/>
          </w:r>
          <w:r>
            <w:fldChar w:fldCharType="begin"/>
          </w:r>
          <w:r>
            <w:instrText xml:space="preserve"> PAGEREF _Toc4827 \h </w:instrText>
          </w:r>
          <w:r>
            <w:fldChar w:fldCharType="separate"/>
          </w:r>
          <w:r>
            <w:t>31</w:t>
          </w:r>
          <w:r>
            <w:fldChar w:fldCharType="end"/>
          </w:r>
          <w:r>
            <w:rPr>
              <w:rFonts w:hint="eastAsia" w:ascii="Times New Roman" w:hAnsi="Times New Roman" w:eastAsia="微软雅黑" w:cs="Times New Roman"/>
              <w:kern w:val="2"/>
              <w:szCs w:val="44"/>
              <w:lang w:val="en-US" w:eastAsia="zh-CN" w:bidi="ar-SA"/>
            </w:rPr>
            <w:fldChar w:fldCharType="end"/>
          </w:r>
        </w:p>
        <w:p w14:paraId="1F503013">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_Toc5183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三、服务贡献</w:t>
          </w:r>
          <w:r>
            <w:tab/>
          </w:r>
          <w:r>
            <w:fldChar w:fldCharType="begin"/>
          </w:r>
          <w:r>
            <w:instrText xml:space="preserve"> PAGEREF _Toc5183 \h </w:instrText>
          </w:r>
          <w:r>
            <w:fldChar w:fldCharType="separate"/>
          </w:r>
          <w:r>
            <w:t>31</w:t>
          </w:r>
          <w:r>
            <w:fldChar w:fldCharType="end"/>
          </w:r>
          <w:r>
            <w:rPr>
              <w:rFonts w:hint="eastAsia" w:ascii="Times New Roman" w:hAnsi="Times New Roman" w:eastAsia="微软雅黑" w:cs="Times New Roman"/>
              <w:kern w:val="2"/>
              <w:szCs w:val="44"/>
              <w:lang w:val="en-US" w:eastAsia="zh-CN" w:bidi="ar-SA"/>
            </w:rPr>
            <w:fldChar w:fldCharType="end"/>
          </w:r>
        </w:p>
        <w:p w14:paraId="7F0F0062">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_Toc27917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3.1 服务行业企业</w:t>
          </w:r>
          <w:r>
            <w:tab/>
          </w:r>
          <w:r>
            <w:fldChar w:fldCharType="begin"/>
          </w:r>
          <w:r>
            <w:instrText xml:space="preserve"> PAGEREF _Toc27917 \h </w:instrText>
          </w:r>
          <w:r>
            <w:fldChar w:fldCharType="separate"/>
          </w:r>
          <w:r>
            <w:t>31</w:t>
          </w:r>
          <w:r>
            <w:fldChar w:fldCharType="end"/>
          </w:r>
          <w:r>
            <w:rPr>
              <w:rFonts w:hint="eastAsia" w:ascii="Times New Roman" w:hAnsi="Times New Roman" w:eastAsia="微软雅黑" w:cs="Times New Roman"/>
              <w:kern w:val="2"/>
              <w:szCs w:val="44"/>
              <w:lang w:val="en-US" w:eastAsia="zh-CN" w:bidi="ar-SA"/>
            </w:rPr>
            <w:fldChar w:fldCharType="end"/>
          </w:r>
        </w:p>
        <w:p w14:paraId="144C092A">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_Toc12580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3.2 服务地方发展</w:t>
          </w:r>
          <w:r>
            <w:tab/>
          </w:r>
          <w:r>
            <w:fldChar w:fldCharType="begin"/>
          </w:r>
          <w:r>
            <w:instrText xml:space="preserve"> PAGEREF _Toc12580 \h </w:instrText>
          </w:r>
          <w:r>
            <w:fldChar w:fldCharType="separate"/>
          </w:r>
          <w:r>
            <w:t>32</w:t>
          </w:r>
          <w:r>
            <w:fldChar w:fldCharType="end"/>
          </w:r>
          <w:r>
            <w:rPr>
              <w:rFonts w:hint="eastAsia" w:ascii="Times New Roman" w:hAnsi="Times New Roman" w:eastAsia="微软雅黑" w:cs="Times New Roman"/>
              <w:kern w:val="2"/>
              <w:szCs w:val="44"/>
              <w:lang w:val="en-US" w:eastAsia="zh-CN" w:bidi="ar-SA"/>
            </w:rPr>
            <w:fldChar w:fldCharType="end"/>
          </w:r>
        </w:p>
        <w:p w14:paraId="3CC6DFE8">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_Toc2316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3.3 服务乡村振兴</w:t>
          </w:r>
          <w:r>
            <w:tab/>
          </w:r>
          <w:r>
            <w:fldChar w:fldCharType="begin"/>
          </w:r>
          <w:r>
            <w:instrText xml:space="preserve"> PAGEREF _Toc2316 \h </w:instrText>
          </w:r>
          <w:r>
            <w:fldChar w:fldCharType="separate"/>
          </w:r>
          <w:r>
            <w:t>33</w:t>
          </w:r>
          <w:r>
            <w:fldChar w:fldCharType="end"/>
          </w:r>
          <w:r>
            <w:rPr>
              <w:rFonts w:hint="eastAsia" w:ascii="Times New Roman" w:hAnsi="Times New Roman" w:eastAsia="微软雅黑" w:cs="Times New Roman"/>
              <w:kern w:val="2"/>
              <w:szCs w:val="44"/>
              <w:lang w:val="en-US" w:eastAsia="zh-CN" w:bidi="ar-SA"/>
            </w:rPr>
            <w:fldChar w:fldCharType="end"/>
          </w:r>
        </w:p>
        <w:p w14:paraId="1D24341D">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_Toc9655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3.4 服务地方社区</w:t>
          </w:r>
          <w:r>
            <w:tab/>
          </w:r>
          <w:r>
            <w:fldChar w:fldCharType="begin"/>
          </w:r>
          <w:r>
            <w:instrText xml:space="preserve"> PAGEREF _Toc9655 \h </w:instrText>
          </w:r>
          <w:r>
            <w:fldChar w:fldCharType="separate"/>
          </w:r>
          <w:r>
            <w:t>34</w:t>
          </w:r>
          <w:r>
            <w:fldChar w:fldCharType="end"/>
          </w:r>
          <w:r>
            <w:rPr>
              <w:rFonts w:hint="eastAsia" w:ascii="Times New Roman" w:hAnsi="Times New Roman" w:eastAsia="微软雅黑" w:cs="Times New Roman"/>
              <w:kern w:val="2"/>
              <w:szCs w:val="44"/>
              <w:lang w:val="en-US" w:eastAsia="zh-CN" w:bidi="ar-SA"/>
            </w:rPr>
            <w:fldChar w:fldCharType="end"/>
          </w:r>
        </w:p>
        <w:p w14:paraId="6ED153E2">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_Toc28611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3.5 具有地域特色的服务</w:t>
          </w:r>
          <w:r>
            <w:tab/>
          </w:r>
          <w:r>
            <w:fldChar w:fldCharType="begin"/>
          </w:r>
          <w:r>
            <w:instrText xml:space="preserve"> PAGEREF _Toc28611 \h </w:instrText>
          </w:r>
          <w:r>
            <w:fldChar w:fldCharType="separate"/>
          </w:r>
          <w:r>
            <w:t>35</w:t>
          </w:r>
          <w:r>
            <w:fldChar w:fldCharType="end"/>
          </w:r>
          <w:r>
            <w:rPr>
              <w:rFonts w:hint="eastAsia" w:ascii="Times New Roman" w:hAnsi="Times New Roman" w:eastAsia="微软雅黑" w:cs="Times New Roman"/>
              <w:kern w:val="2"/>
              <w:szCs w:val="44"/>
              <w:lang w:val="en-US" w:eastAsia="zh-CN" w:bidi="ar-SA"/>
            </w:rPr>
            <w:fldChar w:fldCharType="end"/>
          </w:r>
        </w:p>
        <w:p w14:paraId="2CE832F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_Toc18924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3.6 具有本校特色的服务</w:t>
          </w:r>
          <w:r>
            <w:tab/>
          </w:r>
          <w:r>
            <w:fldChar w:fldCharType="begin"/>
          </w:r>
          <w:r>
            <w:instrText xml:space="preserve"> PAGEREF _Toc18924 \h </w:instrText>
          </w:r>
          <w:r>
            <w:fldChar w:fldCharType="separate"/>
          </w:r>
          <w:r>
            <w:t>36</w:t>
          </w:r>
          <w:r>
            <w:fldChar w:fldCharType="end"/>
          </w:r>
          <w:r>
            <w:rPr>
              <w:rFonts w:hint="eastAsia" w:ascii="Times New Roman" w:hAnsi="Times New Roman" w:eastAsia="微软雅黑" w:cs="Times New Roman"/>
              <w:kern w:val="2"/>
              <w:szCs w:val="44"/>
              <w:lang w:val="en-US" w:eastAsia="zh-CN" w:bidi="ar-SA"/>
            </w:rPr>
            <w:fldChar w:fldCharType="end"/>
          </w:r>
        </w:p>
        <w:p w14:paraId="40DC5C06">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_Toc2357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四、文化传承</w:t>
          </w:r>
          <w:r>
            <w:tab/>
          </w:r>
          <w:r>
            <w:fldChar w:fldCharType="begin"/>
          </w:r>
          <w:r>
            <w:instrText xml:space="preserve"> PAGEREF _Toc2357 \h </w:instrText>
          </w:r>
          <w:r>
            <w:fldChar w:fldCharType="separate"/>
          </w:r>
          <w:r>
            <w:t>37</w:t>
          </w:r>
          <w:r>
            <w:fldChar w:fldCharType="end"/>
          </w:r>
          <w:r>
            <w:rPr>
              <w:rFonts w:hint="eastAsia" w:ascii="Times New Roman" w:hAnsi="Times New Roman" w:eastAsia="微软雅黑" w:cs="Times New Roman"/>
              <w:kern w:val="2"/>
              <w:szCs w:val="44"/>
              <w:lang w:val="en-US" w:eastAsia="zh-CN" w:bidi="ar-SA"/>
            </w:rPr>
            <w:fldChar w:fldCharType="end"/>
          </w:r>
        </w:p>
        <w:p w14:paraId="75C06728">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_Toc15865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4.1 传承工匠精神</w:t>
          </w:r>
          <w:r>
            <w:tab/>
          </w:r>
          <w:r>
            <w:fldChar w:fldCharType="begin"/>
          </w:r>
          <w:r>
            <w:instrText xml:space="preserve"> PAGEREF _Toc15865 \h </w:instrText>
          </w:r>
          <w:r>
            <w:fldChar w:fldCharType="separate"/>
          </w:r>
          <w:r>
            <w:t>37</w:t>
          </w:r>
          <w:r>
            <w:fldChar w:fldCharType="end"/>
          </w:r>
          <w:r>
            <w:rPr>
              <w:rFonts w:hint="eastAsia" w:ascii="Times New Roman" w:hAnsi="Times New Roman" w:eastAsia="微软雅黑" w:cs="Times New Roman"/>
              <w:kern w:val="2"/>
              <w:szCs w:val="44"/>
              <w:lang w:val="en-US" w:eastAsia="zh-CN" w:bidi="ar-SA"/>
            </w:rPr>
            <w:fldChar w:fldCharType="end"/>
          </w:r>
        </w:p>
        <w:p w14:paraId="70DF528B">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_Toc29702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4.2传承红色基因</w:t>
          </w:r>
          <w:r>
            <w:tab/>
          </w:r>
          <w:r>
            <w:fldChar w:fldCharType="begin"/>
          </w:r>
          <w:r>
            <w:instrText xml:space="preserve"> PAGEREF _Toc29702 \h </w:instrText>
          </w:r>
          <w:r>
            <w:fldChar w:fldCharType="separate"/>
          </w:r>
          <w:r>
            <w:t>39</w:t>
          </w:r>
          <w:r>
            <w:fldChar w:fldCharType="end"/>
          </w:r>
          <w:r>
            <w:rPr>
              <w:rFonts w:hint="eastAsia" w:ascii="Times New Roman" w:hAnsi="Times New Roman" w:eastAsia="微软雅黑" w:cs="Times New Roman"/>
              <w:kern w:val="2"/>
              <w:szCs w:val="44"/>
              <w:lang w:val="en-US" w:eastAsia="zh-CN" w:bidi="ar-SA"/>
            </w:rPr>
            <w:fldChar w:fldCharType="end"/>
          </w:r>
        </w:p>
        <w:p w14:paraId="68D8C4C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_Toc4166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4.3 传承中华优秀传统文化</w:t>
          </w:r>
          <w:r>
            <w:tab/>
          </w:r>
          <w:r>
            <w:fldChar w:fldCharType="begin"/>
          </w:r>
          <w:r>
            <w:instrText xml:space="preserve"> PAGEREF _Toc4166 \h </w:instrText>
          </w:r>
          <w:r>
            <w:fldChar w:fldCharType="separate"/>
          </w:r>
          <w:r>
            <w:t>40</w:t>
          </w:r>
          <w:r>
            <w:fldChar w:fldCharType="end"/>
          </w:r>
          <w:r>
            <w:rPr>
              <w:rFonts w:hint="eastAsia" w:ascii="Times New Roman" w:hAnsi="Times New Roman" w:eastAsia="微软雅黑" w:cs="Times New Roman"/>
              <w:kern w:val="2"/>
              <w:szCs w:val="44"/>
              <w:lang w:val="en-US" w:eastAsia="zh-CN" w:bidi="ar-SA"/>
            </w:rPr>
            <w:fldChar w:fldCharType="end"/>
          </w:r>
        </w:p>
        <w:p w14:paraId="0FDB234C">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_Toc3583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五、国际合作</w:t>
          </w:r>
          <w:r>
            <w:tab/>
          </w:r>
          <w:r>
            <w:fldChar w:fldCharType="begin"/>
          </w:r>
          <w:r>
            <w:instrText xml:space="preserve"> PAGEREF _Toc3583 \h </w:instrText>
          </w:r>
          <w:r>
            <w:fldChar w:fldCharType="separate"/>
          </w:r>
          <w:r>
            <w:t>42</w:t>
          </w:r>
          <w:r>
            <w:fldChar w:fldCharType="end"/>
          </w:r>
          <w:r>
            <w:rPr>
              <w:rFonts w:hint="eastAsia" w:ascii="Times New Roman" w:hAnsi="Times New Roman" w:eastAsia="微软雅黑" w:cs="Times New Roman"/>
              <w:kern w:val="2"/>
              <w:szCs w:val="44"/>
              <w:lang w:val="en-US" w:eastAsia="zh-CN" w:bidi="ar-SA"/>
            </w:rPr>
            <w:fldChar w:fldCharType="end"/>
          </w:r>
        </w:p>
        <w:p w14:paraId="0D22179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_Toc13401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5.1 合作办学情况</w:t>
          </w:r>
          <w:r>
            <w:tab/>
          </w:r>
          <w:r>
            <w:fldChar w:fldCharType="begin"/>
          </w:r>
          <w:r>
            <w:instrText xml:space="preserve"> PAGEREF _Toc13401 \h </w:instrText>
          </w:r>
          <w:r>
            <w:fldChar w:fldCharType="separate"/>
          </w:r>
          <w:r>
            <w:t>42</w:t>
          </w:r>
          <w:r>
            <w:fldChar w:fldCharType="end"/>
          </w:r>
          <w:r>
            <w:rPr>
              <w:rFonts w:hint="eastAsia" w:ascii="Times New Roman" w:hAnsi="Times New Roman" w:eastAsia="微软雅黑" w:cs="Times New Roman"/>
              <w:kern w:val="2"/>
              <w:szCs w:val="44"/>
              <w:lang w:val="en-US" w:eastAsia="zh-CN" w:bidi="ar-SA"/>
            </w:rPr>
            <w:fldChar w:fldCharType="end"/>
          </w:r>
        </w:p>
        <w:p w14:paraId="19510527">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_Toc24045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5.2提升学生国际化素养情况</w:t>
          </w:r>
          <w:r>
            <w:tab/>
          </w:r>
          <w:r>
            <w:fldChar w:fldCharType="begin"/>
          </w:r>
          <w:r>
            <w:instrText xml:space="preserve"> PAGEREF _Toc24045 \h </w:instrText>
          </w:r>
          <w:r>
            <w:fldChar w:fldCharType="separate"/>
          </w:r>
          <w:r>
            <w:t>42</w:t>
          </w:r>
          <w:r>
            <w:fldChar w:fldCharType="end"/>
          </w:r>
          <w:r>
            <w:rPr>
              <w:rFonts w:hint="eastAsia" w:ascii="Times New Roman" w:hAnsi="Times New Roman" w:eastAsia="微软雅黑" w:cs="Times New Roman"/>
              <w:kern w:val="2"/>
              <w:szCs w:val="44"/>
              <w:lang w:val="en-US" w:eastAsia="zh-CN" w:bidi="ar-SA"/>
            </w:rPr>
            <w:fldChar w:fldCharType="end"/>
          </w:r>
        </w:p>
        <w:p w14:paraId="14F6633E">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_Toc22974 </w:instrText>
          </w:r>
          <w:r>
            <w:rPr>
              <w:rFonts w:hint="eastAsia" w:ascii="Times New Roman" w:hAnsi="Times New Roman" w:eastAsia="微软雅黑" w:cs="Times New Roman"/>
              <w:kern w:val="2"/>
              <w:szCs w:val="44"/>
              <w:lang w:val="en-US" w:eastAsia="zh-CN" w:bidi="ar-SA"/>
            </w:rPr>
            <w:fldChar w:fldCharType="separate"/>
          </w:r>
          <w:r>
            <w:rPr>
              <w:rFonts w:hint="eastAsia" w:ascii="黑体" w:hAnsi="黑体" w:cs="黑体"/>
              <w:kern w:val="0"/>
              <w:szCs w:val="32"/>
              <w:lang w:val="en-US" w:eastAsia="zh-CN" w:bidi="ar"/>
            </w:rPr>
            <w:t>六、</w:t>
          </w:r>
          <w:r>
            <w:rPr>
              <w:rFonts w:hint="eastAsia"/>
              <w:lang w:val="en-US" w:eastAsia="zh-CN"/>
            </w:rPr>
            <w:t>产教融合</w:t>
          </w:r>
          <w:r>
            <w:tab/>
          </w:r>
          <w:r>
            <w:fldChar w:fldCharType="begin"/>
          </w:r>
          <w:r>
            <w:instrText xml:space="preserve"> PAGEREF _Toc22974 \h </w:instrText>
          </w:r>
          <w:r>
            <w:fldChar w:fldCharType="separate"/>
          </w:r>
          <w:r>
            <w:t>43</w:t>
          </w:r>
          <w:r>
            <w:fldChar w:fldCharType="end"/>
          </w:r>
          <w:r>
            <w:rPr>
              <w:rFonts w:hint="eastAsia" w:ascii="Times New Roman" w:hAnsi="Times New Roman" w:eastAsia="微软雅黑" w:cs="Times New Roman"/>
              <w:kern w:val="2"/>
              <w:szCs w:val="44"/>
              <w:lang w:val="en-US" w:eastAsia="zh-CN" w:bidi="ar-SA"/>
            </w:rPr>
            <w:fldChar w:fldCharType="end"/>
          </w:r>
        </w:p>
        <w:p w14:paraId="0D4CBC4E">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_Toc20818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6.1校企双元育人</w:t>
          </w:r>
          <w:r>
            <w:tab/>
          </w:r>
          <w:r>
            <w:fldChar w:fldCharType="begin"/>
          </w:r>
          <w:r>
            <w:instrText xml:space="preserve"> PAGEREF _Toc20818 \h </w:instrText>
          </w:r>
          <w:r>
            <w:fldChar w:fldCharType="separate"/>
          </w:r>
          <w:r>
            <w:t>43</w:t>
          </w:r>
          <w:r>
            <w:fldChar w:fldCharType="end"/>
          </w:r>
          <w:r>
            <w:rPr>
              <w:rFonts w:hint="eastAsia" w:ascii="Times New Roman" w:hAnsi="Times New Roman" w:eastAsia="微软雅黑" w:cs="Times New Roman"/>
              <w:kern w:val="2"/>
              <w:szCs w:val="44"/>
              <w:lang w:val="en-US" w:eastAsia="zh-CN" w:bidi="ar-SA"/>
            </w:rPr>
            <w:fldChar w:fldCharType="end"/>
          </w:r>
        </w:p>
        <w:p w14:paraId="658801F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_Toc27503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6.2市域产教联合体建设</w:t>
          </w:r>
          <w:r>
            <w:tab/>
          </w:r>
          <w:r>
            <w:fldChar w:fldCharType="begin"/>
          </w:r>
          <w:r>
            <w:instrText xml:space="preserve"> PAGEREF _Toc27503 \h </w:instrText>
          </w:r>
          <w:r>
            <w:fldChar w:fldCharType="separate"/>
          </w:r>
          <w:r>
            <w:t>43</w:t>
          </w:r>
          <w:r>
            <w:fldChar w:fldCharType="end"/>
          </w:r>
          <w:r>
            <w:rPr>
              <w:rFonts w:hint="eastAsia" w:ascii="Times New Roman" w:hAnsi="Times New Roman" w:eastAsia="微软雅黑" w:cs="Times New Roman"/>
              <w:kern w:val="2"/>
              <w:szCs w:val="44"/>
              <w:lang w:val="en-US" w:eastAsia="zh-CN" w:bidi="ar-SA"/>
            </w:rPr>
            <w:fldChar w:fldCharType="end"/>
          </w:r>
        </w:p>
        <w:p w14:paraId="2852E1A1">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_Toc5309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6.3开放型区域产教融合实践中心建设</w:t>
          </w:r>
          <w:r>
            <w:tab/>
          </w:r>
          <w:r>
            <w:fldChar w:fldCharType="begin"/>
          </w:r>
          <w:r>
            <w:instrText xml:space="preserve"> PAGEREF _Toc5309 \h </w:instrText>
          </w:r>
          <w:r>
            <w:fldChar w:fldCharType="separate"/>
          </w:r>
          <w:r>
            <w:t>45</w:t>
          </w:r>
          <w:r>
            <w:fldChar w:fldCharType="end"/>
          </w:r>
          <w:r>
            <w:rPr>
              <w:rFonts w:hint="eastAsia" w:ascii="Times New Roman" w:hAnsi="Times New Roman" w:eastAsia="微软雅黑" w:cs="Times New Roman"/>
              <w:kern w:val="2"/>
              <w:szCs w:val="44"/>
              <w:lang w:val="en-US" w:eastAsia="zh-CN" w:bidi="ar-SA"/>
            </w:rPr>
            <w:fldChar w:fldCharType="end"/>
          </w:r>
        </w:p>
        <w:p w14:paraId="5CDBC2CC">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_Toc849 </w:instrText>
          </w:r>
          <w:r>
            <w:rPr>
              <w:rFonts w:hint="eastAsia" w:ascii="Times New Roman" w:hAnsi="Times New Roman" w:eastAsia="微软雅黑" w:cs="Times New Roman"/>
              <w:kern w:val="2"/>
              <w:szCs w:val="44"/>
              <w:lang w:val="en-US" w:eastAsia="zh-CN" w:bidi="ar-SA"/>
            </w:rPr>
            <w:fldChar w:fldCharType="separate"/>
          </w:r>
          <w:r>
            <w:rPr>
              <w:rFonts w:hint="eastAsia" w:ascii="黑体" w:hAnsi="黑体" w:cs="黑体"/>
              <w:kern w:val="0"/>
              <w:szCs w:val="32"/>
              <w:lang w:val="en-US" w:eastAsia="zh-CN" w:bidi="ar"/>
            </w:rPr>
            <w:t>七、发展保障</w:t>
          </w:r>
          <w:r>
            <w:tab/>
          </w:r>
          <w:r>
            <w:fldChar w:fldCharType="begin"/>
          </w:r>
          <w:r>
            <w:instrText xml:space="preserve"> PAGEREF _Toc849 \h </w:instrText>
          </w:r>
          <w:r>
            <w:fldChar w:fldCharType="separate"/>
          </w:r>
          <w:r>
            <w:t>46</w:t>
          </w:r>
          <w:r>
            <w:fldChar w:fldCharType="end"/>
          </w:r>
          <w:r>
            <w:rPr>
              <w:rFonts w:hint="eastAsia" w:ascii="Times New Roman" w:hAnsi="Times New Roman" w:eastAsia="微软雅黑" w:cs="Times New Roman"/>
              <w:kern w:val="2"/>
              <w:szCs w:val="44"/>
              <w:lang w:val="en-US" w:eastAsia="zh-CN" w:bidi="ar-SA"/>
            </w:rPr>
            <w:fldChar w:fldCharType="end"/>
          </w:r>
        </w:p>
        <w:p w14:paraId="1BC17F2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_Toc17352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7.1政策落实</w:t>
          </w:r>
          <w:r>
            <w:tab/>
          </w:r>
          <w:r>
            <w:fldChar w:fldCharType="begin"/>
          </w:r>
          <w:r>
            <w:instrText xml:space="preserve"> PAGEREF _Toc17352 \h </w:instrText>
          </w:r>
          <w:r>
            <w:fldChar w:fldCharType="separate"/>
          </w:r>
          <w:r>
            <w:t>46</w:t>
          </w:r>
          <w:r>
            <w:fldChar w:fldCharType="end"/>
          </w:r>
          <w:r>
            <w:rPr>
              <w:rFonts w:hint="eastAsia" w:ascii="Times New Roman" w:hAnsi="Times New Roman" w:eastAsia="微软雅黑" w:cs="Times New Roman"/>
              <w:kern w:val="2"/>
              <w:szCs w:val="44"/>
              <w:lang w:val="en-US" w:eastAsia="zh-CN" w:bidi="ar-SA"/>
            </w:rPr>
            <w:fldChar w:fldCharType="end"/>
          </w:r>
        </w:p>
        <w:p w14:paraId="36655F3A">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_Toc15037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7.2学校治理</w:t>
          </w:r>
          <w:r>
            <w:tab/>
          </w:r>
          <w:r>
            <w:fldChar w:fldCharType="begin"/>
          </w:r>
          <w:r>
            <w:instrText xml:space="preserve"> PAGEREF _Toc15037 \h </w:instrText>
          </w:r>
          <w:r>
            <w:fldChar w:fldCharType="separate"/>
          </w:r>
          <w:r>
            <w:t>47</w:t>
          </w:r>
          <w:r>
            <w:fldChar w:fldCharType="end"/>
          </w:r>
          <w:r>
            <w:rPr>
              <w:rFonts w:hint="eastAsia" w:ascii="Times New Roman" w:hAnsi="Times New Roman" w:eastAsia="微软雅黑" w:cs="Times New Roman"/>
              <w:kern w:val="2"/>
              <w:szCs w:val="44"/>
              <w:lang w:val="en-US" w:eastAsia="zh-CN" w:bidi="ar-SA"/>
            </w:rPr>
            <w:fldChar w:fldCharType="end"/>
          </w:r>
        </w:p>
        <w:p w14:paraId="2F520151">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_Toc22018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7.3</w:t>
          </w:r>
          <w:r>
            <w:rPr>
              <w:rFonts w:hint="default" w:ascii="方正楷体_GB2312" w:hAnsi="方正楷体_GB2312" w:eastAsia="方正楷体_GB2312" w:cs="方正楷体_GB2312"/>
              <w:bCs/>
              <w:lang w:val="en-US" w:eastAsia="zh-CN"/>
            </w:rPr>
            <w:t>质量保障</w:t>
          </w:r>
          <w:r>
            <w:tab/>
          </w:r>
          <w:r>
            <w:fldChar w:fldCharType="begin"/>
          </w:r>
          <w:r>
            <w:instrText xml:space="preserve"> PAGEREF _Toc22018 \h </w:instrText>
          </w:r>
          <w:r>
            <w:fldChar w:fldCharType="separate"/>
          </w:r>
          <w:r>
            <w:t>49</w:t>
          </w:r>
          <w:r>
            <w:fldChar w:fldCharType="end"/>
          </w:r>
          <w:r>
            <w:rPr>
              <w:rFonts w:hint="eastAsia" w:ascii="Times New Roman" w:hAnsi="Times New Roman" w:eastAsia="微软雅黑" w:cs="Times New Roman"/>
              <w:kern w:val="2"/>
              <w:szCs w:val="44"/>
              <w:lang w:val="en-US" w:eastAsia="zh-CN" w:bidi="ar-SA"/>
            </w:rPr>
            <w:fldChar w:fldCharType="end"/>
          </w:r>
        </w:p>
        <w:p w14:paraId="749F4171">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_Toc18480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7.4经费投入</w:t>
          </w:r>
          <w:r>
            <w:tab/>
          </w:r>
          <w:r>
            <w:fldChar w:fldCharType="begin"/>
          </w:r>
          <w:r>
            <w:instrText xml:space="preserve"> PAGEREF _Toc18480 \h </w:instrText>
          </w:r>
          <w:r>
            <w:fldChar w:fldCharType="separate"/>
          </w:r>
          <w:r>
            <w:t>50</w:t>
          </w:r>
          <w:r>
            <w:fldChar w:fldCharType="end"/>
          </w:r>
          <w:r>
            <w:rPr>
              <w:rFonts w:hint="eastAsia" w:ascii="Times New Roman" w:hAnsi="Times New Roman" w:eastAsia="微软雅黑" w:cs="Times New Roman"/>
              <w:kern w:val="2"/>
              <w:szCs w:val="44"/>
              <w:lang w:val="en-US" w:eastAsia="zh-CN" w:bidi="ar-SA"/>
            </w:rPr>
            <w:fldChar w:fldCharType="end"/>
          </w:r>
        </w:p>
        <w:p w14:paraId="320D6E23">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_Toc6241 </w:instrText>
          </w:r>
          <w:r>
            <w:rPr>
              <w:rFonts w:hint="eastAsia" w:ascii="Times New Roman" w:hAnsi="Times New Roman" w:eastAsia="微软雅黑" w:cs="Times New Roman"/>
              <w:kern w:val="2"/>
              <w:szCs w:val="44"/>
              <w:lang w:val="en-US" w:eastAsia="zh-CN" w:bidi="ar-SA"/>
            </w:rPr>
            <w:fldChar w:fldCharType="separate"/>
          </w:r>
          <w:r>
            <w:rPr>
              <w:rFonts w:hint="eastAsia" w:ascii="黑体" w:hAnsi="黑体" w:cs="黑体"/>
              <w:kern w:val="0"/>
              <w:szCs w:val="32"/>
              <w:lang w:val="en-US" w:eastAsia="zh-CN" w:bidi="ar"/>
            </w:rPr>
            <w:t>八、 挑战与展望</w:t>
          </w:r>
          <w:r>
            <w:tab/>
          </w:r>
          <w:r>
            <w:fldChar w:fldCharType="begin"/>
          </w:r>
          <w:r>
            <w:instrText xml:space="preserve"> PAGEREF _Toc6241 \h </w:instrText>
          </w:r>
          <w:r>
            <w:fldChar w:fldCharType="separate"/>
          </w:r>
          <w:r>
            <w:t>52</w:t>
          </w:r>
          <w:r>
            <w:fldChar w:fldCharType="end"/>
          </w:r>
          <w:r>
            <w:rPr>
              <w:rFonts w:hint="eastAsia" w:ascii="Times New Roman" w:hAnsi="Times New Roman" w:eastAsia="微软雅黑" w:cs="Times New Roman"/>
              <w:kern w:val="2"/>
              <w:szCs w:val="44"/>
              <w:lang w:val="en-US" w:eastAsia="zh-CN" w:bidi="ar-SA"/>
            </w:rPr>
            <w:fldChar w:fldCharType="end"/>
          </w:r>
        </w:p>
        <w:p w14:paraId="28186C2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_Toc7059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8.1 面临挑战</w:t>
          </w:r>
          <w:r>
            <w:tab/>
          </w:r>
          <w:r>
            <w:fldChar w:fldCharType="begin"/>
          </w:r>
          <w:r>
            <w:instrText xml:space="preserve"> PAGEREF _Toc7059 \h </w:instrText>
          </w:r>
          <w:r>
            <w:fldChar w:fldCharType="separate"/>
          </w:r>
          <w:r>
            <w:t>52</w:t>
          </w:r>
          <w:r>
            <w:fldChar w:fldCharType="end"/>
          </w:r>
          <w:r>
            <w:rPr>
              <w:rFonts w:hint="eastAsia" w:ascii="Times New Roman" w:hAnsi="Times New Roman" w:eastAsia="微软雅黑" w:cs="Times New Roman"/>
              <w:kern w:val="2"/>
              <w:szCs w:val="44"/>
              <w:lang w:val="en-US" w:eastAsia="zh-CN" w:bidi="ar-SA"/>
            </w:rPr>
            <w:fldChar w:fldCharType="end"/>
          </w:r>
        </w:p>
        <w:p w14:paraId="465C1343">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_Toc16095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8.2未来展望</w:t>
          </w:r>
          <w:r>
            <w:tab/>
          </w:r>
          <w:r>
            <w:fldChar w:fldCharType="begin"/>
          </w:r>
          <w:r>
            <w:instrText xml:space="preserve"> PAGEREF _Toc16095 \h </w:instrText>
          </w:r>
          <w:r>
            <w:fldChar w:fldCharType="separate"/>
          </w:r>
          <w:r>
            <w:t>53</w:t>
          </w:r>
          <w:r>
            <w:fldChar w:fldCharType="end"/>
          </w:r>
          <w:r>
            <w:rPr>
              <w:rFonts w:hint="eastAsia" w:ascii="Times New Roman" w:hAnsi="Times New Roman" w:eastAsia="微软雅黑" w:cs="Times New Roman"/>
              <w:kern w:val="2"/>
              <w:szCs w:val="44"/>
              <w:lang w:val="en-US" w:eastAsia="zh-CN" w:bidi="ar-SA"/>
            </w:rPr>
            <w:fldChar w:fldCharType="end"/>
          </w:r>
        </w:p>
        <w:p w14:paraId="5A5BCC4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32"/>
              <w:szCs w:val="44"/>
              <w:lang w:val="en-US" w:eastAsia="zh-CN" w:bidi="ar-SA"/>
            </w:rPr>
          </w:pPr>
          <w:r>
            <w:rPr>
              <w:rFonts w:hint="eastAsia" w:ascii="Times New Roman" w:hAnsi="Times New Roman" w:eastAsia="微软雅黑" w:cs="Times New Roman"/>
              <w:kern w:val="2"/>
              <w:szCs w:val="44"/>
              <w:lang w:val="en-US" w:eastAsia="zh-CN" w:bidi="ar-SA"/>
            </w:rPr>
            <w:fldChar w:fldCharType="end"/>
          </w:r>
        </w:p>
      </w:sdtContent>
    </w:sdt>
    <w:p w14:paraId="17D3136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32"/>
          <w:szCs w:val="44"/>
          <w:lang w:val="en-US" w:eastAsia="zh-CN" w:bidi="ar-SA"/>
        </w:rPr>
      </w:pPr>
    </w:p>
    <w:p w14:paraId="64F4054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274BBD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6FC823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5FB2F5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97DB9F9">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eastAsia="微软雅黑"/>
          <w:sz w:val="44"/>
          <w:szCs w:val="44"/>
          <w:lang w:eastAsia="zh-CN"/>
        </w:rPr>
        <w:t>咸阳协和</w:t>
      </w:r>
      <w:r>
        <w:rPr>
          <w:rFonts w:hint="eastAsia" w:eastAsia="微软雅黑"/>
          <w:sz w:val="44"/>
          <w:szCs w:val="44"/>
        </w:rPr>
        <w:t>职业学校质量年度报告（</w:t>
      </w:r>
      <w:r>
        <w:rPr>
          <w:rFonts w:eastAsia="微软雅黑"/>
          <w:sz w:val="44"/>
          <w:szCs w:val="44"/>
        </w:rPr>
        <w:t>20</w:t>
      </w:r>
      <w:r>
        <w:rPr>
          <w:rFonts w:hint="eastAsia" w:eastAsia="微软雅黑"/>
          <w:sz w:val="44"/>
          <w:szCs w:val="44"/>
          <w:lang w:val="en-US" w:eastAsia="zh-CN"/>
        </w:rPr>
        <w:t>25</w:t>
      </w:r>
      <w:r>
        <w:rPr>
          <w:rFonts w:hint="eastAsia" w:eastAsia="微软雅黑"/>
          <w:sz w:val="44"/>
          <w:szCs w:val="44"/>
        </w:rPr>
        <w:t>年度）</w:t>
      </w:r>
    </w:p>
    <w:p w14:paraId="04143244">
      <w:pPr>
        <w:pStyle w:val="3"/>
        <w:pageBreakBefore w:val="0"/>
        <w:widowControl w:val="0"/>
        <w:kinsoku/>
        <w:wordWrap/>
        <w:overflowPunct/>
        <w:topLinePunct w:val="0"/>
        <w:autoSpaceDE/>
        <w:autoSpaceDN/>
        <w:bidi w:val="0"/>
        <w:adjustRightInd/>
        <w:snapToGrid/>
        <w:spacing w:line="570" w:lineRule="exact"/>
        <w:textAlignment w:val="auto"/>
        <w:rPr>
          <w:rFonts w:hint="eastAsia" w:ascii="黑体" w:hAnsi="黑体" w:eastAsia="黑体" w:cs="黑体"/>
          <w:b w:val="0"/>
          <w:bCs/>
          <w:lang w:eastAsia="zh-CN"/>
        </w:rPr>
      </w:pPr>
      <w:bookmarkStart w:id="0" w:name="_Toc4515"/>
      <w:r>
        <w:rPr>
          <w:rFonts w:hint="eastAsia"/>
          <w:b w:val="0"/>
          <w:bCs/>
          <w:lang w:eastAsia="zh-CN"/>
        </w:rPr>
        <w:t>一、基本情况</w:t>
      </w:r>
      <w:bookmarkEnd w:id="0"/>
    </w:p>
    <w:p w14:paraId="420274F2">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1" w:name="_Toc8033"/>
      <w:r>
        <w:rPr>
          <w:rFonts w:hint="eastAsia" w:ascii="方正楷体_GB2312" w:hAnsi="方正楷体_GB2312" w:eastAsia="方正楷体_GB2312" w:cs="方正楷体_GB2312"/>
          <w:b w:val="0"/>
          <w:bCs/>
          <w:lang w:eastAsia="zh-CN"/>
        </w:rPr>
        <w:t>1.1 学校概况</w:t>
      </w:r>
      <w:bookmarkEnd w:id="1"/>
    </w:p>
    <w:p w14:paraId="67B84445">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咸阳协和职业学校是经陕西省咸阳市教育局正式批准设立的全日制中等职业学校，坐落于咸阳市人民西路陕西科技大学咸阳校区内，交通便捷通畅，校园环境</w:t>
      </w:r>
      <w:r>
        <w:rPr>
          <w:rFonts w:hint="eastAsia" w:ascii="方正仿宋_GB2312" w:hAnsi="方正仿宋_GB2312" w:eastAsia="方正仿宋_GB2312" w:cs="方正仿宋_GB2312"/>
          <w:sz w:val="32"/>
          <w:szCs w:val="32"/>
          <w:lang w:val="en-US" w:eastAsia="zh-CN"/>
        </w:rPr>
        <w:t>优雅</w:t>
      </w:r>
      <w:r>
        <w:rPr>
          <w:rFonts w:hint="eastAsia" w:ascii="方正仿宋_GB2312" w:hAnsi="方正仿宋_GB2312" w:eastAsia="方正仿宋_GB2312" w:cs="方正仿宋_GB2312"/>
          <w:sz w:val="32"/>
          <w:szCs w:val="32"/>
        </w:rPr>
        <w:t>，为学子营造了沉浸式的学习生活氛围。</w:t>
      </w:r>
    </w:p>
    <w:p w14:paraId="589D4ED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学校硬件设施完备，办学条件优越。</w:t>
      </w:r>
      <w:r>
        <w:rPr>
          <w:rFonts w:hint="eastAsia" w:ascii="方正仿宋_GB2312" w:hAnsi="方正仿宋_GB2312" w:eastAsia="方正仿宋_GB2312" w:cs="方正仿宋_GB2312"/>
          <w:sz w:val="32"/>
          <w:szCs w:val="32"/>
          <w:highlight w:val="none"/>
        </w:rPr>
        <w:t>学校</w:t>
      </w:r>
      <w:r>
        <w:rPr>
          <w:rFonts w:hint="eastAsia" w:ascii="方正仿宋_GB2312" w:hAnsi="方正仿宋_GB2312" w:eastAsia="方正仿宋_GB2312" w:cs="方正仿宋_GB2312"/>
          <w:sz w:val="32"/>
          <w:szCs w:val="32"/>
          <w:highlight w:val="none"/>
          <w:lang w:eastAsia="zh-CN"/>
        </w:rPr>
        <w:t>占地</w:t>
      </w:r>
      <w:r>
        <w:rPr>
          <w:rFonts w:hint="eastAsia" w:ascii="方正仿宋_GB2312" w:hAnsi="方正仿宋_GB2312" w:eastAsia="方正仿宋_GB2312" w:cs="方正仿宋_GB2312"/>
          <w:sz w:val="32"/>
          <w:szCs w:val="32"/>
          <w:highlight w:val="none"/>
        </w:rPr>
        <w:t>面积</w:t>
      </w:r>
      <w:r>
        <w:rPr>
          <w:rFonts w:hint="eastAsia" w:ascii="方正仿宋_GB2312" w:hAnsi="方正仿宋_GB2312" w:eastAsia="方正仿宋_GB2312" w:cs="方正仿宋_GB2312"/>
          <w:sz w:val="32"/>
          <w:szCs w:val="32"/>
          <w:lang w:eastAsia="zh-CN"/>
        </w:rPr>
        <w:t>达 41890 平方米，总建筑面积 24890.27 平方米，其中教学楼面积</w:t>
      </w:r>
      <w:r>
        <w:rPr>
          <w:rFonts w:hint="eastAsia" w:ascii="方正仿宋_GB2312" w:hAnsi="方正仿宋_GB2312" w:eastAsia="方正仿宋_GB2312" w:cs="方正仿宋_GB2312"/>
          <w:sz w:val="32"/>
          <w:szCs w:val="32"/>
          <w:lang w:val="en-US" w:eastAsia="zh-CN"/>
        </w:rPr>
        <w:t>4500</w:t>
      </w:r>
      <w:r>
        <w:rPr>
          <w:rFonts w:hint="eastAsia" w:ascii="方正仿宋_GB2312" w:hAnsi="方正仿宋_GB2312" w:eastAsia="方正仿宋_GB2312" w:cs="方正仿宋_GB2312"/>
          <w:sz w:val="32"/>
          <w:szCs w:val="32"/>
          <w:lang w:eastAsia="zh-CN"/>
        </w:rPr>
        <w:t xml:space="preserve"> 平方米；教学仪器设备总值 315.44444 万元，纸质图书馆藏量达 55000 册，为教学科研与知识拓展提供坚实支撑。校园功能分区明确，教学楼、操场、学生公寓、餐厅、浴室等基础设施自成体系，同时配备多媒体教室、专业实训室、图书室、运动</w:t>
      </w:r>
      <w:r>
        <w:rPr>
          <w:rFonts w:hint="eastAsia" w:ascii="方正仿宋_GB2312" w:hAnsi="方正仿宋_GB2312" w:eastAsia="方正仿宋_GB2312" w:cs="方正仿宋_GB2312"/>
          <w:sz w:val="32"/>
          <w:szCs w:val="32"/>
          <w:lang w:val="en-US" w:eastAsia="zh-CN"/>
        </w:rPr>
        <w:t>场所</w:t>
      </w:r>
      <w:r>
        <w:rPr>
          <w:rFonts w:hint="eastAsia" w:ascii="方正仿宋_GB2312" w:hAnsi="方正仿宋_GB2312" w:eastAsia="方正仿宋_GB2312" w:cs="方正仿宋_GB2312"/>
          <w:sz w:val="32"/>
          <w:szCs w:val="32"/>
          <w:lang w:eastAsia="zh-CN"/>
        </w:rPr>
        <w:t>等配套设施，全方位覆盖学习、生活、运动等多元需求，为学生打造了优质、便捷、全面的成长环境，助力学子在职业道路上稳步前行。</w:t>
      </w:r>
    </w:p>
    <w:p w14:paraId="266AF9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p>
    <w:p w14:paraId="394E79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0288" behindDoc="0" locked="0" layoutInCell="1" allowOverlap="1">
            <wp:simplePos x="0" y="0"/>
            <wp:positionH relativeFrom="column">
              <wp:posOffset>151765</wp:posOffset>
            </wp:positionH>
            <wp:positionV relativeFrom="paragraph">
              <wp:posOffset>13335</wp:posOffset>
            </wp:positionV>
            <wp:extent cx="2381885" cy="1474470"/>
            <wp:effectExtent l="0" t="0" r="18415" b="11430"/>
            <wp:wrapNone/>
            <wp:docPr id="8" name="图片 8" descr="门头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门头照片"/>
                    <pic:cNvPicPr>
                      <a:picLocks noChangeAspect="1"/>
                    </pic:cNvPicPr>
                  </pic:nvPicPr>
                  <pic:blipFill>
                    <a:blip r:embed="rId8"/>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1312" behindDoc="0" locked="0" layoutInCell="1" allowOverlap="1">
            <wp:simplePos x="0" y="0"/>
            <wp:positionH relativeFrom="column">
              <wp:posOffset>2870200</wp:posOffset>
            </wp:positionH>
            <wp:positionV relativeFrom="paragraph">
              <wp:posOffset>13335</wp:posOffset>
            </wp:positionV>
            <wp:extent cx="2350770" cy="1454785"/>
            <wp:effectExtent l="0" t="0" r="11430" b="12065"/>
            <wp:wrapNone/>
            <wp:docPr id="14" name="图片 14" descr="D:/校LOGO/校园设施图片/微信图片_20240305095710.jpg微信图片_2024030509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校LOGO/校园设施图片/微信图片_20240305095710.jpg微信图片_20240305095710"/>
                    <pic:cNvPicPr>
                      <a:picLocks noChangeAspect="1"/>
                    </pic:cNvPicPr>
                  </pic:nvPicPr>
                  <pic:blipFill>
                    <a:blip r:embed="rId9"/>
                    <a:srcRect t="8744" b="8744"/>
                    <a:stretch>
                      <a:fillRect/>
                    </a:stretch>
                  </pic:blipFill>
                  <pic:spPr>
                    <a:xfrm>
                      <a:off x="0" y="0"/>
                      <a:ext cx="2350770" cy="1454785"/>
                    </a:xfrm>
                    <a:prstGeom prst="rect">
                      <a:avLst/>
                    </a:prstGeom>
                  </pic:spPr>
                </pic:pic>
              </a:graphicData>
            </a:graphic>
          </wp:anchor>
        </w:drawing>
      </w:r>
    </w:p>
    <w:p w14:paraId="59B2B6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p>
    <w:p w14:paraId="2D1C00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p>
    <w:p w14:paraId="6C473D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p>
    <w:p w14:paraId="6A1FF54E">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教学楼                          宿舍楼</w:t>
      </w:r>
    </w:p>
    <w:p w14:paraId="235592DD">
      <w:pPr>
        <w:keepNext w:val="0"/>
        <w:keepLines w:val="0"/>
        <w:pageBreakBefore w:val="0"/>
        <w:widowControl w:val="0"/>
        <w:kinsoku/>
        <w:wordWrap/>
        <w:overflowPunct/>
        <w:topLinePunct w:val="0"/>
        <w:autoSpaceDE/>
        <w:autoSpaceDN/>
        <w:bidi w:val="0"/>
        <w:adjustRightInd/>
        <w:snapToGrid/>
        <w:spacing w:line="560" w:lineRule="exact"/>
        <w:ind w:firstLine="720" w:firstLineChars="3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3360" behindDoc="0" locked="0" layoutInCell="1" allowOverlap="1">
            <wp:simplePos x="0" y="0"/>
            <wp:positionH relativeFrom="column">
              <wp:posOffset>2924175</wp:posOffset>
            </wp:positionH>
            <wp:positionV relativeFrom="paragraph">
              <wp:posOffset>138430</wp:posOffset>
            </wp:positionV>
            <wp:extent cx="2397760" cy="1483995"/>
            <wp:effectExtent l="0" t="0" r="2540" b="1905"/>
            <wp:wrapNone/>
            <wp:docPr id="18" name="图片 18" descr="E:/工作文件/校园设施图片/校园设施图片/微信图片_20240305095654.jpg微信图片_202403050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校园设施图片/校园设施图片/微信图片_20240305095654.jpg微信图片_20240305095654"/>
                    <pic:cNvPicPr>
                      <a:picLocks noChangeAspect="1"/>
                    </pic:cNvPicPr>
                  </pic:nvPicPr>
                  <pic:blipFill>
                    <a:blip r:embed="rId10"/>
                    <a:srcRect t="8753" b="8753"/>
                    <a:stretch>
                      <a:fillRect/>
                    </a:stretch>
                  </pic:blipFill>
                  <pic:spPr>
                    <a:xfrm>
                      <a:off x="0" y="0"/>
                      <a:ext cx="2397760" cy="1483995"/>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2336" behindDoc="0" locked="0" layoutInCell="1" allowOverlap="1">
            <wp:simplePos x="0" y="0"/>
            <wp:positionH relativeFrom="column">
              <wp:posOffset>-1905</wp:posOffset>
            </wp:positionH>
            <wp:positionV relativeFrom="paragraph">
              <wp:posOffset>138430</wp:posOffset>
            </wp:positionV>
            <wp:extent cx="2397760" cy="1483995"/>
            <wp:effectExtent l="0" t="0" r="2540" b="1905"/>
            <wp:wrapNone/>
            <wp:docPr id="1" name="图片 1" descr="D:/校LOGO/校园设施图片/微信图片_20240305095722.png微信图片_202403050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校LOGO/校园设施图片/微信图片_20240305095722.png微信图片_20240305095722"/>
                    <pic:cNvPicPr>
                      <a:picLocks noChangeAspect="1"/>
                    </pic:cNvPicPr>
                  </pic:nvPicPr>
                  <pic:blipFill>
                    <a:blip r:embed="rId11"/>
                    <a:srcRect t="8753" b="8753"/>
                    <a:stretch>
                      <a:fillRect/>
                    </a:stretch>
                  </pic:blipFill>
                  <pic:spPr>
                    <a:xfrm>
                      <a:off x="0" y="0"/>
                      <a:ext cx="2397760" cy="1483995"/>
                    </a:xfrm>
                    <a:prstGeom prst="rect">
                      <a:avLst/>
                    </a:prstGeom>
                  </pic:spPr>
                </pic:pic>
              </a:graphicData>
            </a:graphic>
          </wp:anchor>
        </w:drawing>
      </w:r>
    </w:p>
    <w:p w14:paraId="0611900F">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default" w:ascii="方正仿宋_GB2312" w:hAnsi="方正仿宋_GB2312" w:eastAsia="方正仿宋_GB2312" w:cs="方正仿宋_GB2312"/>
          <w:sz w:val="32"/>
          <w:szCs w:val="32"/>
          <w:lang w:val="en-US" w:eastAsia="zh-CN"/>
        </w:rPr>
      </w:pPr>
    </w:p>
    <w:p w14:paraId="21B279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528B91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114D87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5D94D77E">
      <w:pPr>
        <w:keepNext w:val="0"/>
        <w:keepLines w:val="0"/>
        <w:pageBreakBefore w:val="0"/>
        <w:widowControl w:val="0"/>
        <w:kinsoku/>
        <w:wordWrap/>
        <w:overflowPunct/>
        <w:topLinePunct w:val="0"/>
        <w:autoSpaceDE/>
        <w:autoSpaceDN/>
        <w:bidi w:val="0"/>
        <w:adjustRightInd/>
        <w:snapToGrid/>
        <w:spacing w:line="560" w:lineRule="exact"/>
        <w:ind w:firstLine="1440" w:firstLineChars="6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4384" behindDoc="0" locked="0" layoutInCell="1" allowOverlap="1">
            <wp:simplePos x="0" y="0"/>
            <wp:positionH relativeFrom="column">
              <wp:posOffset>-1905</wp:posOffset>
            </wp:positionH>
            <wp:positionV relativeFrom="paragraph">
              <wp:posOffset>607695</wp:posOffset>
            </wp:positionV>
            <wp:extent cx="2397760" cy="1483995"/>
            <wp:effectExtent l="0" t="0" r="2540" b="1905"/>
            <wp:wrapNone/>
            <wp:docPr id="2" name="图片 2" descr="E:/工作文件/校园设施图片/校园设施图片/微信图片_20240305095717.jpg微信图片_2024030509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文件/校园设施图片/校园设施图片/微信图片_20240305095717.jpg微信图片_20240305095717"/>
                    <pic:cNvPicPr>
                      <a:picLocks noChangeAspect="1"/>
                    </pic:cNvPicPr>
                  </pic:nvPicPr>
                  <pic:blipFill>
                    <a:blip r:embed="rId12"/>
                    <a:srcRect t="8739" b="8739"/>
                    <a:stretch>
                      <a:fillRect/>
                    </a:stretch>
                  </pic:blipFill>
                  <pic:spPr>
                    <a:xfrm>
                      <a:off x="0" y="0"/>
                      <a:ext cx="2397760" cy="1483995"/>
                    </a:xfrm>
                    <a:prstGeom prst="rect">
                      <a:avLst/>
                    </a:prstGeom>
                  </pic:spPr>
                </pic:pic>
              </a:graphicData>
            </a:graphic>
          </wp:anchor>
        </w:drawing>
      </w:r>
      <w:r>
        <w:rPr>
          <w:rFonts w:hint="eastAsia" w:ascii="方正仿宋_GB2312" w:hAnsi="方正仿宋_GB2312" w:eastAsia="方正仿宋_GB2312" w:cs="方正仿宋_GB2312"/>
          <w:sz w:val="32"/>
          <w:szCs w:val="32"/>
          <w:lang w:val="en-US" w:eastAsia="zh-CN"/>
        </w:rPr>
        <w:t>操场                         餐厅</w:t>
      </w:r>
    </w:p>
    <w:p w14:paraId="10E47DC9">
      <w:pPr>
        <w:keepNext w:val="0"/>
        <w:keepLines w:val="0"/>
        <w:pageBreakBefore w:val="0"/>
        <w:widowControl w:val="0"/>
        <w:kinsoku/>
        <w:wordWrap/>
        <w:overflowPunct/>
        <w:topLinePunct w:val="0"/>
        <w:autoSpaceDE/>
        <w:autoSpaceDN/>
        <w:bidi w:val="0"/>
        <w:adjustRightInd/>
        <w:snapToGrid/>
        <w:spacing w:line="560" w:lineRule="exact"/>
        <w:ind w:firstLine="1440" w:firstLineChars="6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5408" behindDoc="0" locked="0" layoutInCell="1" allowOverlap="1">
            <wp:simplePos x="0" y="0"/>
            <wp:positionH relativeFrom="column">
              <wp:posOffset>2924175</wp:posOffset>
            </wp:positionH>
            <wp:positionV relativeFrom="paragraph">
              <wp:posOffset>252095</wp:posOffset>
            </wp:positionV>
            <wp:extent cx="2397760" cy="1483995"/>
            <wp:effectExtent l="0" t="0" r="2540" b="1905"/>
            <wp:wrapNone/>
            <wp:docPr id="3" name="图片 3" descr="E:/工作文件/校园设施图片/校园设施图片/微信图片_20240305095711.jpg微信图片_2024030509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文件/校园设施图片/校园设施图片/微信图片_20240305095711.jpg微信图片_20240305095711"/>
                    <pic:cNvPicPr>
                      <a:picLocks noChangeAspect="1"/>
                    </pic:cNvPicPr>
                  </pic:nvPicPr>
                  <pic:blipFill>
                    <a:blip r:embed="rId13"/>
                    <a:srcRect t="8739" b="8739"/>
                    <a:stretch>
                      <a:fillRect/>
                    </a:stretch>
                  </pic:blipFill>
                  <pic:spPr>
                    <a:xfrm>
                      <a:off x="0" y="0"/>
                      <a:ext cx="2397760" cy="1483995"/>
                    </a:xfrm>
                    <a:prstGeom prst="rect">
                      <a:avLst/>
                    </a:prstGeom>
                  </pic:spPr>
                </pic:pic>
              </a:graphicData>
            </a:graphic>
          </wp:anchor>
        </w:drawing>
      </w:r>
    </w:p>
    <w:p w14:paraId="58BF3718">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57075A05">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63B6946C">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227E38FC">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7E44904B">
      <w:pPr>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浴室                        护理实训室</w:t>
      </w:r>
    </w:p>
    <w:p w14:paraId="7B57D7B8">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2" w:name="_Toc4149"/>
      <w:r>
        <w:rPr>
          <w:rFonts w:hint="eastAsia" w:ascii="方正楷体_GB2312" w:hAnsi="方正楷体_GB2312" w:eastAsia="方正楷体_GB2312" w:cs="方正楷体_GB2312"/>
          <w:b w:val="0"/>
          <w:bCs/>
          <w:lang w:eastAsia="zh-CN"/>
        </w:rPr>
        <w:t>1.2 专业设置</w:t>
      </w:r>
      <w:bookmarkEnd w:id="2"/>
    </w:p>
    <w:p w14:paraId="20C21CC6">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学校充分注重优势和重点专业的品牌特色，以培养高技能高质量人才提供保障。</w:t>
      </w:r>
    </w:p>
    <w:p w14:paraId="443C5C5E">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2025年开设专业如下：护理、幼儿保育、电子商务、绘画、市场营销、口腔修复工艺、计算机平面设计。已在全国中等职业教育专业设置管理系统进行填报。</w:t>
      </w:r>
    </w:p>
    <w:p w14:paraId="2ECFE204">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具体内容如下图：</w:t>
      </w:r>
    </w:p>
    <w:p w14:paraId="179D12A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p w14:paraId="04EE5E67">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624"/>
        <w:gridCol w:w="1992"/>
        <w:gridCol w:w="1047"/>
        <w:gridCol w:w="1345"/>
        <w:gridCol w:w="1408"/>
      </w:tblGrid>
      <w:tr w14:paraId="7C76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0FB434F">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序号</w:t>
            </w:r>
          </w:p>
        </w:tc>
        <w:tc>
          <w:tcPr>
            <w:tcW w:w="953" w:type="pct"/>
            <w:tcBorders>
              <w:top w:val="single" w:color="auto" w:sz="4" w:space="0"/>
              <w:left w:val="single" w:color="auto" w:sz="4" w:space="0"/>
              <w:bottom w:val="single" w:color="auto" w:sz="4" w:space="0"/>
              <w:right w:val="single" w:color="auto" w:sz="4" w:space="0"/>
            </w:tcBorders>
            <w:vAlign w:val="center"/>
          </w:tcPr>
          <w:p w14:paraId="3F245B7F">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专业代码</w:t>
            </w:r>
          </w:p>
        </w:tc>
        <w:tc>
          <w:tcPr>
            <w:tcW w:w="1169" w:type="pct"/>
            <w:tcBorders>
              <w:top w:val="single" w:color="auto" w:sz="4" w:space="0"/>
              <w:left w:val="single" w:color="auto" w:sz="4" w:space="0"/>
              <w:bottom w:val="single" w:color="auto" w:sz="4" w:space="0"/>
              <w:right w:val="single" w:color="auto" w:sz="4" w:space="0"/>
            </w:tcBorders>
            <w:vAlign w:val="center"/>
          </w:tcPr>
          <w:p w14:paraId="0F3360A9">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专业名称</w:t>
            </w:r>
          </w:p>
        </w:tc>
        <w:tc>
          <w:tcPr>
            <w:tcW w:w="614" w:type="pct"/>
            <w:tcBorders>
              <w:top w:val="single" w:color="auto" w:sz="4" w:space="0"/>
              <w:left w:val="single" w:color="auto" w:sz="4" w:space="0"/>
              <w:bottom w:val="single" w:color="auto" w:sz="4" w:space="0"/>
              <w:right w:val="single" w:color="auto" w:sz="4" w:space="0"/>
            </w:tcBorders>
            <w:vAlign w:val="center"/>
          </w:tcPr>
          <w:p w14:paraId="1E50D9EC">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学制</w:t>
            </w:r>
          </w:p>
        </w:tc>
        <w:tc>
          <w:tcPr>
            <w:tcW w:w="789" w:type="pct"/>
            <w:tcBorders>
              <w:top w:val="single" w:color="auto" w:sz="4" w:space="0"/>
              <w:left w:val="single" w:color="auto" w:sz="4" w:space="0"/>
              <w:bottom w:val="single" w:color="auto" w:sz="4" w:space="0"/>
              <w:right w:val="single" w:color="auto" w:sz="4" w:space="0"/>
            </w:tcBorders>
            <w:vAlign w:val="center"/>
          </w:tcPr>
          <w:p w14:paraId="21A5E55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p w14:paraId="482629BE">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首次招生</w:t>
            </w:r>
          </w:p>
          <w:p w14:paraId="4014AAA9">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tc>
        <w:tc>
          <w:tcPr>
            <w:tcW w:w="826" w:type="pct"/>
            <w:tcBorders>
              <w:top w:val="single" w:color="auto" w:sz="4" w:space="0"/>
              <w:left w:val="single" w:color="auto" w:sz="4" w:space="0"/>
              <w:bottom w:val="single" w:color="auto" w:sz="4" w:space="0"/>
              <w:right w:val="single" w:color="auto" w:sz="4" w:space="0"/>
            </w:tcBorders>
            <w:vAlign w:val="center"/>
          </w:tcPr>
          <w:p w14:paraId="3022B3B7">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设置情况</w:t>
            </w:r>
          </w:p>
        </w:tc>
      </w:tr>
      <w:tr w14:paraId="66B2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F2D035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w:t>
            </w:r>
          </w:p>
        </w:tc>
        <w:tc>
          <w:tcPr>
            <w:tcW w:w="953" w:type="pct"/>
            <w:tcBorders>
              <w:top w:val="single" w:color="auto" w:sz="4" w:space="0"/>
              <w:left w:val="single" w:color="auto" w:sz="4" w:space="0"/>
              <w:bottom w:val="single" w:color="auto" w:sz="4" w:space="0"/>
              <w:right w:val="single" w:color="auto" w:sz="4" w:space="0"/>
            </w:tcBorders>
            <w:vAlign w:val="center"/>
          </w:tcPr>
          <w:p w14:paraId="3E81E592">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720201</w:t>
            </w:r>
          </w:p>
        </w:tc>
        <w:tc>
          <w:tcPr>
            <w:tcW w:w="1169" w:type="pct"/>
            <w:tcBorders>
              <w:top w:val="single" w:color="auto" w:sz="4" w:space="0"/>
              <w:left w:val="single" w:color="auto" w:sz="4" w:space="0"/>
              <w:bottom w:val="single" w:color="auto" w:sz="4" w:space="0"/>
              <w:right w:val="single" w:color="auto" w:sz="4" w:space="0"/>
            </w:tcBorders>
            <w:vAlign w:val="center"/>
          </w:tcPr>
          <w:p w14:paraId="318A4E3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护理</w:t>
            </w:r>
          </w:p>
        </w:tc>
        <w:tc>
          <w:tcPr>
            <w:tcW w:w="614" w:type="pct"/>
            <w:tcBorders>
              <w:top w:val="single" w:color="auto" w:sz="4" w:space="0"/>
              <w:left w:val="single" w:color="auto" w:sz="4" w:space="0"/>
              <w:bottom w:val="single" w:color="auto" w:sz="4" w:space="0"/>
              <w:right w:val="single" w:color="auto" w:sz="4" w:space="0"/>
            </w:tcBorders>
            <w:vAlign w:val="center"/>
          </w:tcPr>
          <w:p w14:paraId="3AB43C1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11B3448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5A715B3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已设</w:t>
            </w:r>
          </w:p>
        </w:tc>
      </w:tr>
      <w:tr w14:paraId="070E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11548A8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w:t>
            </w:r>
          </w:p>
        </w:tc>
        <w:tc>
          <w:tcPr>
            <w:tcW w:w="953" w:type="pct"/>
            <w:tcBorders>
              <w:top w:val="single" w:color="auto" w:sz="4" w:space="0"/>
              <w:left w:val="single" w:color="auto" w:sz="4" w:space="0"/>
              <w:bottom w:val="single" w:color="auto" w:sz="4" w:space="0"/>
              <w:right w:val="single" w:color="auto" w:sz="4" w:space="0"/>
            </w:tcBorders>
            <w:vAlign w:val="center"/>
          </w:tcPr>
          <w:p w14:paraId="482E949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770101</w:t>
            </w:r>
          </w:p>
        </w:tc>
        <w:tc>
          <w:tcPr>
            <w:tcW w:w="1169" w:type="pct"/>
            <w:tcBorders>
              <w:top w:val="single" w:color="auto" w:sz="4" w:space="0"/>
              <w:left w:val="single" w:color="auto" w:sz="4" w:space="0"/>
              <w:bottom w:val="single" w:color="auto" w:sz="4" w:space="0"/>
              <w:right w:val="single" w:color="auto" w:sz="4" w:space="0"/>
            </w:tcBorders>
            <w:vAlign w:val="center"/>
          </w:tcPr>
          <w:p w14:paraId="6741ABC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幼儿保育</w:t>
            </w:r>
          </w:p>
        </w:tc>
        <w:tc>
          <w:tcPr>
            <w:tcW w:w="614" w:type="pct"/>
            <w:tcBorders>
              <w:top w:val="single" w:color="auto" w:sz="4" w:space="0"/>
              <w:left w:val="single" w:color="auto" w:sz="4" w:space="0"/>
              <w:bottom w:val="single" w:color="auto" w:sz="4" w:space="0"/>
              <w:right w:val="single" w:color="auto" w:sz="4" w:space="0"/>
            </w:tcBorders>
            <w:vAlign w:val="center"/>
          </w:tcPr>
          <w:p w14:paraId="39A880E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2A66B0F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2021年</w:t>
            </w:r>
          </w:p>
        </w:tc>
        <w:tc>
          <w:tcPr>
            <w:tcW w:w="826" w:type="pct"/>
            <w:tcBorders>
              <w:top w:val="single" w:color="auto" w:sz="4" w:space="0"/>
              <w:left w:val="single" w:color="auto" w:sz="4" w:space="0"/>
              <w:bottom w:val="single" w:color="auto" w:sz="4" w:space="0"/>
              <w:right w:val="single" w:color="auto" w:sz="4" w:space="0"/>
            </w:tcBorders>
            <w:vAlign w:val="center"/>
          </w:tcPr>
          <w:p w14:paraId="76CA195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0A4E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23BB59C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w:t>
            </w:r>
          </w:p>
        </w:tc>
        <w:tc>
          <w:tcPr>
            <w:tcW w:w="953" w:type="pct"/>
            <w:tcBorders>
              <w:top w:val="single" w:color="auto" w:sz="4" w:space="0"/>
              <w:left w:val="single" w:color="auto" w:sz="4" w:space="0"/>
              <w:bottom w:val="single" w:color="auto" w:sz="4" w:space="0"/>
              <w:right w:val="single" w:color="auto" w:sz="4" w:space="0"/>
            </w:tcBorders>
            <w:vAlign w:val="center"/>
          </w:tcPr>
          <w:p w14:paraId="0F23BEC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730701</w:t>
            </w:r>
          </w:p>
        </w:tc>
        <w:tc>
          <w:tcPr>
            <w:tcW w:w="1169" w:type="pct"/>
            <w:tcBorders>
              <w:top w:val="single" w:color="auto" w:sz="4" w:space="0"/>
              <w:left w:val="single" w:color="auto" w:sz="4" w:space="0"/>
              <w:bottom w:val="single" w:color="auto" w:sz="4" w:space="0"/>
              <w:right w:val="single" w:color="auto" w:sz="4" w:space="0"/>
            </w:tcBorders>
            <w:vAlign w:val="center"/>
          </w:tcPr>
          <w:p w14:paraId="3B48C681">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bidi="ar-SA"/>
              </w:rPr>
            </w:pPr>
            <w:r>
              <w:rPr>
                <w:rFonts w:hint="eastAsia" w:ascii="方正仿宋_GB2312" w:hAnsi="方正仿宋_GB2312" w:eastAsia="方正仿宋_GB2312" w:cs="方正仿宋_GB2312"/>
                <w:kern w:val="0"/>
                <w:sz w:val="24"/>
                <w:szCs w:val="24"/>
                <w:lang w:eastAsia="zh-CN"/>
              </w:rPr>
              <w:t>电子商务</w:t>
            </w:r>
          </w:p>
        </w:tc>
        <w:tc>
          <w:tcPr>
            <w:tcW w:w="614" w:type="pct"/>
            <w:tcBorders>
              <w:top w:val="single" w:color="auto" w:sz="4" w:space="0"/>
              <w:left w:val="single" w:color="auto" w:sz="4" w:space="0"/>
              <w:bottom w:val="single" w:color="auto" w:sz="4" w:space="0"/>
              <w:right w:val="single" w:color="auto" w:sz="4" w:space="0"/>
            </w:tcBorders>
            <w:vAlign w:val="center"/>
          </w:tcPr>
          <w:p w14:paraId="1158848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4660F60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7452D82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5DF6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D8E08B2">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4</w:t>
            </w:r>
          </w:p>
        </w:tc>
        <w:tc>
          <w:tcPr>
            <w:tcW w:w="953" w:type="pct"/>
            <w:tcBorders>
              <w:top w:val="single" w:color="auto" w:sz="4" w:space="0"/>
              <w:left w:val="single" w:color="auto" w:sz="4" w:space="0"/>
              <w:bottom w:val="single" w:color="auto" w:sz="4" w:space="0"/>
              <w:right w:val="single" w:color="auto" w:sz="4" w:space="0"/>
            </w:tcBorders>
            <w:vAlign w:val="center"/>
          </w:tcPr>
          <w:p w14:paraId="043B7C3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750107</w:t>
            </w:r>
          </w:p>
        </w:tc>
        <w:tc>
          <w:tcPr>
            <w:tcW w:w="1169" w:type="pct"/>
            <w:tcBorders>
              <w:top w:val="single" w:color="auto" w:sz="4" w:space="0"/>
              <w:left w:val="single" w:color="auto" w:sz="4" w:space="0"/>
              <w:bottom w:val="single" w:color="auto" w:sz="4" w:space="0"/>
              <w:right w:val="single" w:color="auto" w:sz="4" w:space="0"/>
            </w:tcBorders>
            <w:vAlign w:val="center"/>
          </w:tcPr>
          <w:p w14:paraId="0AE1547E">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绘画</w:t>
            </w:r>
          </w:p>
        </w:tc>
        <w:tc>
          <w:tcPr>
            <w:tcW w:w="614" w:type="pct"/>
            <w:tcBorders>
              <w:top w:val="single" w:color="auto" w:sz="4" w:space="0"/>
              <w:left w:val="single" w:color="auto" w:sz="4" w:space="0"/>
              <w:bottom w:val="single" w:color="auto" w:sz="4" w:space="0"/>
              <w:right w:val="single" w:color="auto" w:sz="4" w:space="0"/>
            </w:tcBorders>
            <w:vAlign w:val="center"/>
          </w:tcPr>
          <w:p w14:paraId="1E83E47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2045DEC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2022年</w:t>
            </w:r>
          </w:p>
        </w:tc>
        <w:tc>
          <w:tcPr>
            <w:tcW w:w="826" w:type="pct"/>
            <w:tcBorders>
              <w:top w:val="single" w:color="auto" w:sz="4" w:space="0"/>
              <w:left w:val="single" w:color="auto" w:sz="4" w:space="0"/>
              <w:bottom w:val="single" w:color="auto" w:sz="4" w:space="0"/>
              <w:right w:val="single" w:color="auto" w:sz="4" w:space="0"/>
            </w:tcBorders>
            <w:vAlign w:val="center"/>
          </w:tcPr>
          <w:p w14:paraId="5E0BAF4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11DB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59EBDEE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5</w:t>
            </w:r>
          </w:p>
        </w:tc>
        <w:tc>
          <w:tcPr>
            <w:tcW w:w="953" w:type="pct"/>
            <w:tcBorders>
              <w:top w:val="single" w:color="auto" w:sz="4" w:space="0"/>
              <w:left w:val="single" w:color="auto" w:sz="4" w:space="0"/>
              <w:bottom w:val="single" w:color="auto" w:sz="4" w:space="0"/>
              <w:right w:val="single" w:color="auto" w:sz="4" w:space="0"/>
            </w:tcBorders>
            <w:vAlign w:val="center"/>
          </w:tcPr>
          <w:p w14:paraId="0AACFFD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730602</w:t>
            </w:r>
          </w:p>
        </w:tc>
        <w:tc>
          <w:tcPr>
            <w:tcW w:w="1169" w:type="pct"/>
            <w:tcBorders>
              <w:top w:val="single" w:color="auto" w:sz="4" w:space="0"/>
              <w:left w:val="single" w:color="auto" w:sz="4" w:space="0"/>
              <w:bottom w:val="single" w:color="auto" w:sz="4" w:space="0"/>
              <w:right w:val="single" w:color="auto" w:sz="4" w:space="0"/>
            </w:tcBorders>
            <w:vAlign w:val="center"/>
          </w:tcPr>
          <w:p w14:paraId="4041F923">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市场营销</w:t>
            </w:r>
          </w:p>
        </w:tc>
        <w:tc>
          <w:tcPr>
            <w:tcW w:w="614" w:type="pct"/>
            <w:tcBorders>
              <w:top w:val="single" w:color="auto" w:sz="4" w:space="0"/>
              <w:left w:val="single" w:color="auto" w:sz="4" w:space="0"/>
              <w:bottom w:val="single" w:color="auto" w:sz="4" w:space="0"/>
              <w:right w:val="single" w:color="auto" w:sz="4" w:space="0"/>
            </w:tcBorders>
            <w:vAlign w:val="center"/>
          </w:tcPr>
          <w:p w14:paraId="6CA6320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64DC6DB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3E57385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22A4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395FC865">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6</w:t>
            </w:r>
          </w:p>
        </w:tc>
        <w:tc>
          <w:tcPr>
            <w:tcW w:w="953" w:type="pct"/>
            <w:tcBorders>
              <w:top w:val="single" w:color="auto" w:sz="4" w:space="0"/>
              <w:left w:val="single" w:color="auto" w:sz="4" w:space="0"/>
              <w:bottom w:val="single" w:color="auto" w:sz="4" w:space="0"/>
              <w:right w:val="single" w:color="auto" w:sz="4" w:space="0"/>
            </w:tcBorders>
            <w:vAlign w:val="center"/>
          </w:tcPr>
          <w:p w14:paraId="2DC5A45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720504</w:t>
            </w:r>
          </w:p>
        </w:tc>
        <w:tc>
          <w:tcPr>
            <w:tcW w:w="1169" w:type="pct"/>
            <w:tcBorders>
              <w:top w:val="single" w:color="auto" w:sz="4" w:space="0"/>
              <w:left w:val="single" w:color="auto" w:sz="4" w:space="0"/>
              <w:bottom w:val="single" w:color="auto" w:sz="4" w:space="0"/>
              <w:right w:val="single" w:color="auto" w:sz="4" w:space="0"/>
            </w:tcBorders>
            <w:vAlign w:val="center"/>
          </w:tcPr>
          <w:p w14:paraId="791DC89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口腔修复工艺</w:t>
            </w:r>
          </w:p>
        </w:tc>
        <w:tc>
          <w:tcPr>
            <w:tcW w:w="614" w:type="pct"/>
            <w:tcBorders>
              <w:top w:val="single" w:color="auto" w:sz="4" w:space="0"/>
              <w:left w:val="single" w:color="auto" w:sz="4" w:space="0"/>
              <w:bottom w:val="single" w:color="auto" w:sz="4" w:space="0"/>
              <w:right w:val="single" w:color="auto" w:sz="4" w:space="0"/>
            </w:tcBorders>
            <w:vAlign w:val="center"/>
          </w:tcPr>
          <w:p w14:paraId="6D2BC2C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5FB2434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1256C3D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6AB0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C9FA33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w:t>
            </w:r>
          </w:p>
        </w:tc>
        <w:tc>
          <w:tcPr>
            <w:tcW w:w="953" w:type="pct"/>
            <w:tcBorders>
              <w:top w:val="single" w:color="auto" w:sz="4" w:space="0"/>
              <w:left w:val="single" w:color="auto" w:sz="4" w:space="0"/>
              <w:bottom w:val="single" w:color="auto" w:sz="4" w:space="0"/>
              <w:right w:val="single" w:color="auto" w:sz="4" w:space="0"/>
            </w:tcBorders>
            <w:vAlign w:val="center"/>
          </w:tcPr>
          <w:p w14:paraId="19273C4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710210</w:t>
            </w:r>
          </w:p>
        </w:tc>
        <w:tc>
          <w:tcPr>
            <w:tcW w:w="1169" w:type="pct"/>
            <w:tcBorders>
              <w:top w:val="single" w:color="auto" w:sz="4" w:space="0"/>
              <w:left w:val="single" w:color="auto" w:sz="4" w:space="0"/>
              <w:bottom w:val="single" w:color="auto" w:sz="4" w:space="0"/>
              <w:right w:val="single" w:color="auto" w:sz="4" w:space="0"/>
            </w:tcBorders>
            <w:vAlign w:val="center"/>
          </w:tcPr>
          <w:p w14:paraId="1579373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计算机平面设计</w:t>
            </w:r>
          </w:p>
        </w:tc>
        <w:tc>
          <w:tcPr>
            <w:tcW w:w="614" w:type="pct"/>
            <w:tcBorders>
              <w:top w:val="single" w:color="auto" w:sz="4" w:space="0"/>
              <w:left w:val="single" w:color="auto" w:sz="4" w:space="0"/>
              <w:bottom w:val="single" w:color="auto" w:sz="4" w:space="0"/>
              <w:right w:val="single" w:color="auto" w:sz="4" w:space="0"/>
            </w:tcBorders>
            <w:vAlign w:val="center"/>
          </w:tcPr>
          <w:p w14:paraId="0A96527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2A68ED0D">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2024年</w:t>
            </w:r>
          </w:p>
        </w:tc>
        <w:tc>
          <w:tcPr>
            <w:tcW w:w="826" w:type="pct"/>
            <w:tcBorders>
              <w:top w:val="single" w:color="auto" w:sz="4" w:space="0"/>
              <w:left w:val="single" w:color="auto" w:sz="4" w:space="0"/>
              <w:bottom w:val="single" w:color="auto" w:sz="4" w:space="0"/>
              <w:right w:val="single" w:color="auto" w:sz="4" w:space="0"/>
            </w:tcBorders>
            <w:vAlign w:val="center"/>
          </w:tcPr>
          <w:p w14:paraId="4B33CE4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default"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已设</w:t>
            </w:r>
          </w:p>
        </w:tc>
      </w:tr>
    </w:tbl>
    <w:p w14:paraId="3BC08298">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3" w:name="_Toc26875"/>
      <w:r>
        <w:rPr>
          <w:rFonts w:hint="eastAsia" w:ascii="方正楷体_GB2312" w:hAnsi="方正楷体_GB2312" w:eastAsia="方正楷体_GB2312" w:cs="方正楷体_GB2312"/>
          <w:b w:val="0"/>
          <w:bCs/>
          <w:lang w:eastAsia="zh-CN"/>
        </w:rPr>
        <w:t>1.3学生情况</w:t>
      </w:r>
      <w:bookmarkEnd w:id="3"/>
    </w:p>
    <w:p w14:paraId="6E9BDD02">
      <w:pPr>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学校现有全日制在校学生939人。一年级学生155人，占比16.51%；二年级学生345人，占比36.74%；三年级学生439人，占比46.75%。</w:t>
      </w:r>
    </w:p>
    <w:p w14:paraId="763B03B3">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仿宋" w:hAnsi="仿宋" w:eastAsia="仿宋"/>
          <w:sz w:val="32"/>
          <w:szCs w:val="32"/>
        </w:rPr>
        <w:t>学生主要来源于陕西省内各市区及周边县区。男生509人，占比54.26%；女生429人，占比45.74%，因专业特点不同各专业群性别比例有所差异。各专业情况：学校目前开设7个专业，护理专业学生145人，占比15.44%；口腔修复工艺专业学生39人，占比4.16%；电子商务专业学生248人，占比26.41%；市场营销专业学生82人，占比8.73%；幼儿保育专业学生193人，占比20.55%；绘画专业学生77人，占比8.20%；计算机平面设计专业学生155人，占比16.51%。</w:t>
      </w:r>
    </w:p>
    <w:p w14:paraId="1196607D">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drawing>
          <wp:anchor distT="0" distB="0" distL="114300" distR="114300" simplePos="0" relativeHeight="251704320" behindDoc="0" locked="0" layoutInCell="1" allowOverlap="1">
            <wp:simplePos x="0" y="0"/>
            <wp:positionH relativeFrom="column">
              <wp:posOffset>-17145</wp:posOffset>
            </wp:positionH>
            <wp:positionV relativeFrom="paragraph">
              <wp:posOffset>48260</wp:posOffset>
            </wp:positionV>
            <wp:extent cx="5270500" cy="2425065"/>
            <wp:effectExtent l="0" t="0" r="6350" b="13335"/>
            <wp:wrapNone/>
            <wp:docPr id="35" name="图片 35" descr="8a613f51329a92d8cd3bbca8e80ca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a613f51329a92d8cd3bbca8e80cac21"/>
                    <pic:cNvPicPr>
                      <a:picLocks noChangeAspect="1"/>
                    </pic:cNvPicPr>
                  </pic:nvPicPr>
                  <pic:blipFill>
                    <a:blip r:embed="rId14"/>
                    <a:stretch>
                      <a:fillRect/>
                    </a:stretch>
                  </pic:blipFill>
                  <pic:spPr>
                    <a:xfrm>
                      <a:off x="0" y="0"/>
                      <a:ext cx="5270500" cy="2425065"/>
                    </a:xfrm>
                    <a:prstGeom prst="rect">
                      <a:avLst/>
                    </a:prstGeom>
                  </pic:spPr>
                </pic:pic>
              </a:graphicData>
            </a:graphic>
          </wp:anchor>
        </w:drawing>
      </w:r>
    </w:p>
    <w:p w14:paraId="2FFB0EB0">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p>
    <w:p w14:paraId="7E039255">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5F33816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61C5E4B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323BFE0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472622B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tbl>
      <w:tblPr>
        <w:tblStyle w:val="11"/>
        <w:tblW w:w="0" w:type="auto"/>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4297"/>
        <w:gridCol w:w="2657"/>
      </w:tblGrid>
      <w:tr w14:paraId="1CF0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tcPr>
          <w:p w14:paraId="6AA6BC27">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序号</w:t>
            </w:r>
          </w:p>
        </w:tc>
        <w:tc>
          <w:tcPr>
            <w:tcW w:w="4297" w:type="dxa"/>
          </w:tcPr>
          <w:p w14:paraId="6B054403">
            <w:pPr>
              <w:spacing w:after="0" w:line="570" w:lineRule="exact"/>
              <w:jc w:val="center"/>
              <w:rPr>
                <w:rFonts w:ascii="仿宋" w:hAnsi="仿宋" w:eastAsia="仿宋"/>
                <w:sz w:val="32"/>
                <w:szCs w:val="32"/>
              </w:rPr>
            </w:pPr>
            <w:r>
              <w:rPr>
                <w:rFonts w:hint="eastAsia" w:ascii="仿宋" w:hAnsi="仿宋" w:eastAsia="仿宋"/>
                <w:sz w:val="32"/>
                <w:szCs w:val="32"/>
              </w:rPr>
              <w:t>专业名称</w:t>
            </w:r>
          </w:p>
        </w:tc>
        <w:tc>
          <w:tcPr>
            <w:tcW w:w="2657" w:type="dxa"/>
          </w:tcPr>
          <w:p w14:paraId="320F896B">
            <w:pPr>
              <w:spacing w:after="0" w:line="570" w:lineRule="exact"/>
              <w:jc w:val="center"/>
              <w:rPr>
                <w:rFonts w:ascii="仿宋" w:hAnsi="仿宋" w:eastAsia="仿宋"/>
                <w:sz w:val="32"/>
                <w:szCs w:val="32"/>
              </w:rPr>
            </w:pPr>
            <w:r>
              <w:rPr>
                <w:rFonts w:hint="eastAsia" w:ascii="仿宋" w:hAnsi="仿宋" w:eastAsia="仿宋"/>
                <w:sz w:val="32"/>
                <w:szCs w:val="32"/>
              </w:rPr>
              <w:t>人数</w:t>
            </w:r>
          </w:p>
        </w:tc>
      </w:tr>
      <w:tr w14:paraId="45E8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69B20F71">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1</w:t>
            </w:r>
          </w:p>
        </w:tc>
        <w:tc>
          <w:tcPr>
            <w:tcW w:w="4297" w:type="dxa"/>
          </w:tcPr>
          <w:p w14:paraId="3267247C">
            <w:pPr>
              <w:spacing w:after="0" w:line="570" w:lineRule="exact"/>
              <w:jc w:val="center"/>
              <w:rPr>
                <w:rFonts w:ascii="仿宋" w:hAnsi="仿宋" w:eastAsia="仿宋"/>
                <w:sz w:val="32"/>
                <w:szCs w:val="32"/>
              </w:rPr>
            </w:pPr>
            <w:r>
              <w:rPr>
                <w:rFonts w:hint="eastAsia" w:ascii="仿宋" w:hAnsi="仿宋" w:eastAsia="仿宋"/>
                <w:sz w:val="32"/>
                <w:szCs w:val="32"/>
              </w:rPr>
              <w:t>护理</w:t>
            </w:r>
          </w:p>
        </w:tc>
        <w:tc>
          <w:tcPr>
            <w:tcW w:w="2657" w:type="dxa"/>
          </w:tcPr>
          <w:p w14:paraId="4F497B47">
            <w:pPr>
              <w:spacing w:after="0" w:line="570" w:lineRule="exact"/>
              <w:jc w:val="center"/>
              <w:rPr>
                <w:rFonts w:ascii="仿宋" w:hAnsi="仿宋" w:eastAsia="仿宋"/>
                <w:sz w:val="32"/>
                <w:szCs w:val="32"/>
              </w:rPr>
            </w:pPr>
            <w:r>
              <w:rPr>
                <w:rFonts w:hint="eastAsia" w:ascii="仿宋" w:hAnsi="仿宋" w:eastAsia="仿宋"/>
                <w:sz w:val="32"/>
                <w:szCs w:val="32"/>
              </w:rPr>
              <w:t>145</w:t>
            </w:r>
          </w:p>
        </w:tc>
      </w:tr>
      <w:tr w14:paraId="11D3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050" w:type="dxa"/>
          </w:tcPr>
          <w:p w14:paraId="09C963FD">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2</w:t>
            </w:r>
          </w:p>
        </w:tc>
        <w:tc>
          <w:tcPr>
            <w:tcW w:w="4297" w:type="dxa"/>
          </w:tcPr>
          <w:p w14:paraId="52AAAC3E">
            <w:pPr>
              <w:spacing w:after="0" w:line="570" w:lineRule="exact"/>
              <w:jc w:val="center"/>
              <w:rPr>
                <w:rFonts w:ascii="仿宋" w:hAnsi="仿宋" w:eastAsia="仿宋"/>
                <w:sz w:val="32"/>
                <w:szCs w:val="32"/>
              </w:rPr>
            </w:pPr>
            <w:r>
              <w:rPr>
                <w:rFonts w:hint="eastAsia" w:ascii="仿宋" w:hAnsi="仿宋" w:eastAsia="仿宋"/>
                <w:sz w:val="32"/>
                <w:szCs w:val="32"/>
              </w:rPr>
              <w:t>口腔修复工艺</w:t>
            </w:r>
          </w:p>
        </w:tc>
        <w:tc>
          <w:tcPr>
            <w:tcW w:w="2657" w:type="dxa"/>
          </w:tcPr>
          <w:p w14:paraId="7320C8FF">
            <w:pPr>
              <w:spacing w:after="0" w:line="570" w:lineRule="exact"/>
              <w:jc w:val="center"/>
              <w:rPr>
                <w:rFonts w:ascii="仿宋" w:hAnsi="仿宋" w:eastAsia="仿宋"/>
                <w:sz w:val="32"/>
                <w:szCs w:val="32"/>
              </w:rPr>
            </w:pPr>
            <w:r>
              <w:rPr>
                <w:rFonts w:hint="eastAsia" w:ascii="仿宋" w:hAnsi="仿宋" w:eastAsia="仿宋"/>
                <w:sz w:val="32"/>
                <w:szCs w:val="32"/>
              </w:rPr>
              <w:t>39</w:t>
            </w:r>
          </w:p>
        </w:tc>
      </w:tr>
      <w:tr w14:paraId="1F8C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759231C8">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3</w:t>
            </w:r>
          </w:p>
        </w:tc>
        <w:tc>
          <w:tcPr>
            <w:tcW w:w="4297" w:type="dxa"/>
          </w:tcPr>
          <w:p w14:paraId="5635834F">
            <w:pPr>
              <w:spacing w:after="0" w:line="570" w:lineRule="exact"/>
              <w:jc w:val="center"/>
              <w:rPr>
                <w:rFonts w:ascii="仿宋" w:hAnsi="仿宋" w:eastAsia="仿宋"/>
                <w:sz w:val="32"/>
                <w:szCs w:val="32"/>
              </w:rPr>
            </w:pPr>
            <w:r>
              <w:rPr>
                <w:rFonts w:hint="eastAsia" w:ascii="仿宋" w:hAnsi="仿宋" w:eastAsia="仿宋"/>
                <w:sz w:val="32"/>
                <w:szCs w:val="32"/>
              </w:rPr>
              <w:t>电子商务</w:t>
            </w:r>
          </w:p>
        </w:tc>
        <w:tc>
          <w:tcPr>
            <w:tcW w:w="2657" w:type="dxa"/>
          </w:tcPr>
          <w:p w14:paraId="08FBD8D5">
            <w:pPr>
              <w:spacing w:after="0" w:line="570" w:lineRule="exact"/>
              <w:jc w:val="center"/>
              <w:rPr>
                <w:rFonts w:ascii="仿宋" w:hAnsi="仿宋" w:eastAsia="仿宋"/>
                <w:sz w:val="32"/>
                <w:szCs w:val="32"/>
              </w:rPr>
            </w:pPr>
            <w:r>
              <w:rPr>
                <w:rFonts w:hint="eastAsia" w:ascii="仿宋" w:hAnsi="仿宋" w:eastAsia="仿宋"/>
                <w:sz w:val="32"/>
                <w:szCs w:val="32"/>
              </w:rPr>
              <w:t>248</w:t>
            </w:r>
          </w:p>
        </w:tc>
      </w:tr>
      <w:tr w14:paraId="68F5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035D6052">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4</w:t>
            </w:r>
          </w:p>
        </w:tc>
        <w:tc>
          <w:tcPr>
            <w:tcW w:w="4297" w:type="dxa"/>
          </w:tcPr>
          <w:p w14:paraId="755A41EA">
            <w:pPr>
              <w:spacing w:after="0" w:line="570" w:lineRule="exact"/>
              <w:jc w:val="center"/>
              <w:rPr>
                <w:rFonts w:ascii="仿宋" w:hAnsi="仿宋" w:eastAsia="仿宋"/>
                <w:sz w:val="32"/>
                <w:szCs w:val="32"/>
              </w:rPr>
            </w:pPr>
            <w:r>
              <w:rPr>
                <w:rFonts w:hint="eastAsia" w:ascii="仿宋" w:hAnsi="仿宋" w:eastAsia="仿宋"/>
                <w:sz w:val="32"/>
                <w:szCs w:val="32"/>
              </w:rPr>
              <w:t>市场营销</w:t>
            </w:r>
          </w:p>
        </w:tc>
        <w:tc>
          <w:tcPr>
            <w:tcW w:w="2657" w:type="dxa"/>
          </w:tcPr>
          <w:p w14:paraId="47DF4239">
            <w:pPr>
              <w:spacing w:after="0" w:line="570" w:lineRule="exact"/>
              <w:jc w:val="center"/>
              <w:rPr>
                <w:rFonts w:ascii="仿宋" w:hAnsi="仿宋" w:eastAsia="仿宋"/>
                <w:sz w:val="32"/>
                <w:szCs w:val="32"/>
              </w:rPr>
            </w:pPr>
            <w:r>
              <w:rPr>
                <w:rFonts w:hint="eastAsia" w:ascii="仿宋" w:hAnsi="仿宋" w:eastAsia="仿宋"/>
                <w:sz w:val="32"/>
                <w:szCs w:val="32"/>
              </w:rPr>
              <w:t>82</w:t>
            </w:r>
          </w:p>
        </w:tc>
      </w:tr>
      <w:tr w14:paraId="4D16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7990593F">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5</w:t>
            </w:r>
          </w:p>
        </w:tc>
        <w:tc>
          <w:tcPr>
            <w:tcW w:w="4297" w:type="dxa"/>
          </w:tcPr>
          <w:p w14:paraId="3ECB497E">
            <w:pPr>
              <w:spacing w:after="0" w:line="570" w:lineRule="exact"/>
              <w:jc w:val="center"/>
              <w:rPr>
                <w:rFonts w:ascii="仿宋" w:hAnsi="仿宋" w:eastAsia="仿宋"/>
                <w:sz w:val="32"/>
                <w:szCs w:val="32"/>
              </w:rPr>
            </w:pPr>
            <w:r>
              <w:rPr>
                <w:rFonts w:hint="eastAsia" w:ascii="仿宋" w:hAnsi="仿宋" w:eastAsia="仿宋"/>
                <w:sz w:val="32"/>
                <w:szCs w:val="32"/>
              </w:rPr>
              <w:t>幼儿保育</w:t>
            </w:r>
          </w:p>
        </w:tc>
        <w:tc>
          <w:tcPr>
            <w:tcW w:w="2657" w:type="dxa"/>
          </w:tcPr>
          <w:p w14:paraId="1B4F74E8">
            <w:pPr>
              <w:spacing w:after="0" w:line="57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193</w:t>
            </w:r>
          </w:p>
        </w:tc>
      </w:tr>
      <w:tr w14:paraId="72DD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00B7BBD5">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6</w:t>
            </w:r>
          </w:p>
        </w:tc>
        <w:tc>
          <w:tcPr>
            <w:tcW w:w="4297" w:type="dxa"/>
          </w:tcPr>
          <w:p w14:paraId="15A85C33">
            <w:pPr>
              <w:spacing w:after="0" w:line="570" w:lineRule="exact"/>
              <w:jc w:val="center"/>
              <w:rPr>
                <w:rFonts w:ascii="仿宋" w:hAnsi="仿宋" w:eastAsia="仿宋"/>
                <w:sz w:val="32"/>
                <w:szCs w:val="32"/>
              </w:rPr>
            </w:pPr>
            <w:r>
              <w:rPr>
                <w:rFonts w:hint="eastAsia" w:ascii="仿宋" w:hAnsi="仿宋" w:eastAsia="仿宋"/>
                <w:sz w:val="32"/>
                <w:szCs w:val="32"/>
              </w:rPr>
              <w:t>绘画</w:t>
            </w:r>
          </w:p>
        </w:tc>
        <w:tc>
          <w:tcPr>
            <w:tcW w:w="2657" w:type="dxa"/>
          </w:tcPr>
          <w:p w14:paraId="681091E5">
            <w:pPr>
              <w:spacing w:after="0" w:line="570" w:lineRule="exact"/>
              <w:jc w:val="center"/>
              <w:rPr>
                <w:rFonts w:ascii="仿宋" w:hAnsi="仿宋" w:eastAsia="仿宋"/>
                <w:sz w:val="32"/>
                <w:szCs w:val="32"/>
              </w:rPr>
            </w:pPr>
            <w:r>
              <w:rPr>
                <w:rFonts w:hint="eastAsia" w:ascii="仿宋" w:hAnsi="仿宋" w:eastAsia="仿宋"/>
                <w:sz w:val="32"/>
                <w:szCs w:val="32"/>
              </w:rPr>
              <w:t>77</w:t>
            </w:r>
          </w:p>
        </w:tc>
      </w:tr>
      <w:tr w14:paraId="3481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73D7949D">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7</w:t>
            </w:r>
          </w:p>
        </w:tc>
        <w:tc>
          <w:tcPr>
            <w:tcW w:w="4297" w:type="dxa"/>
          </w:tcPr>
          <w:p w14:paraId="16E42A23">
            <w:pPr>
              <w:spacing w:after="0" w:line="570" w:lineRule="exact"/>
              <w:jc w:val="center"/>
              <w:rPr>
                <w:rFonts w:ascii="仿宋" w:hAnsi="仿宋" w:eastAsia="仿宋"/>
                <w:sz w:val="32"/>
                <w:szCs w:val="32"/>
              </w:rPr>
            </w:pPr>
            <w:r>
              <w:rPr>
                <w:rFonts w:hint="eastAsia" w:ascii="仿宋" w:hAnsi="仿宋" w:eastAsia="仿宋"/>
                <w:sz w:val="32"/>
                <w:szCs w:val="32"/>
              </w:rPr>
              <w:t>计算机平面设计</w:t>
            </w:r>
          </w:p>
        </w:tc>
        <w:tc>
          <w:tcPr>
            <w:tcW w:w="2657" w:type="dxa"/>
          </w:tcPr>
          <w:p w14:paraId="75ABE096">
            <w:pPr>
              <w:spacing w:after="0" w:line="570" w:lineRule="exact"/>
              <w:jc w:val="center"/>
              <w:rPr>
                <w:rFonts w:ascii="仿宋" w:hAnsi="仿宋" w:eastAsia="仿宋"/>
                <w:sz w:val="32"/>
                <w:szCs w:val="32"/>
              </w:rPr>
            </w:pPr>
            <w:r>
              <w:rPr>
                <w:rFonts w:hint="eastAsia" w:ascii="仿宋" w:hAnsi="仿宋" w:eastAsia="仿宋"/>
                <w:sz w:val="32"/>
                <w:szCs w:val="32"/>
              </w:rPr>
              <w:t>155</w:t>
            </w:r>
          </w:p>
        </w:tc>
      </w:tr>
    </w:tbl>
    <w:p w14:paraId="147F9D8E">
      <w:pPr>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学校秉承“育人教书”的教学理念，学生整体发展呈良好态势。学生积极参与各项比赛。在2025年第四届“长安杯”陕西省大中小学国家安全知识竞赛参赛学生获三等奖。学校举办作文比赛中19名学生获奖，获奖使学生学习自信加倍。</w:t>
      </w:r>
    </w:p>
    <w:p w14:paraId="2AA25843">
      <w:pPr>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学校重视学生思想道德、文化修养等综合素质培养。通过思政课程、劳动教育、校园文化活动等多种形式，增强学生的纪律观念、团队协作精神、吃苦耐劳品质和社会责任感。</w:t>
      </w:r>
    </w:p>
    <w:p w14:paraId="70FB45F7">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4" w:name="_Toc12437"/>
      <w:r>
        <w:rPr>
          <w:rFonts w:hint="eastAsia" w:ascii="方正楷体_GB2312" w:hAnsi="方正楷体_GB2312" w:eastAsia="方正楷体_GB2312" w:cs="方正楷体_GB2312"/>
          <w:b w:val="0"/>
          <w:bCs/>
          <w:lang w:eastAsia="zh-CN"/>
        </w:rPr>
        <w:t>1.4 教师队伍</w:t>
      </w:r>
      <w:bookmarkEnd w:id="4"/>
    </w:p>
    <w:p w14:paraId="126B4B05">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学校师资队伍实力雄厚、配置优化，其中专任教师 66 人、兼职教师 13 人。在这支队伍中，中高级职称教师36 人，“双师型” 教师 22 人，形成了 “骨干引领、梯队合理、专兼结合” 的育人格局。教师们兼具扎实的理论知识与过硬的实践能力，教学经验丰富、育人成效显著，为学生提供优质教学服务，全力护航学生成长成才。</w:t>
      </w:r>
    </w:p>
    <w:p w14:paraId="1C2C6B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lang w:eastAsia="zh-CN" w:bidi="ar"/>
        </w:rPr>
        <w:drawing>
          <wp:anchor distT="0" distB="0" distL="114300" distR="114300" simplePos="0" relativeHeight="251688960" behindDoc="0" locked="0" layoutInCell="1" allowOverlap="1">
            <wp:simplePos x="0" y="0"/>
            <wp:positionH relativeFrom="column">
              <wp:posOffset>16510</wp:posOffset>
            </wp:positionH>
            <wp:positionV relativeFrom="paragraph">
              <wp:posOffset>113030</wp:posOffset>
            </wp:positionV>
            <wp:extent cx="5256530" cy="2386330"/>
            <wp:effectExtent l="4445" t="4445" r="15875" b="47625"/>
            <wp:wrapNone/>
            <wp:docPr id="28" name="图表 28" descr="7b0a202020202263686172745265734964223a202232303437363435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2CC5A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7484FE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74E0B9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28154A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665659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2312" w:hAnsi="方正仿宋_GB2312" w:eastAsia="方正仿宋_GB2312" w:cs="方正仿宋_GB2312"/>
          <w:sz w:val="32"/>
          <w:szCs w:val="32"/>
        </w:rPr>
      </w:pPr>
    </w:p>
    <w:p w14:paraId="271ECED2">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咸阳协和职业学校高度重视教师权益保障与生活品质提升，</w:t>
      </w:r>
      <w:r>
        <w:rPr>
          <w:rFonts w:hint="eastAsia" w:ascii="方正仿宋_GB2312" w:hAnsi="方正仿宋_GB2312" w:eastAsia="方正仿宋_GB2312" w:cs="方正仿宋_GB2312"/>
          <w:kern w:val="0"/>
          <w:sz w:val="32"/>
          <w:szCs w:val="32"/>
          <w:lang w:val="en-US" w:eastAsia="zh-CN" w:bidi="ar"/>
        </w:rPr>
        <w:t>学校</w:t>
      </w:r>
      <w:r>
        <w:rPr>
          <w:rFonts w:hint="eastAsia" w:ascii="方正仿宋_GB2312" w:hAnsi="方正仿宋_GB2312" w:eastAsia="方正仿宋_GB2312" w:cs="方正仿宋_GB2312"/>
          <w:kern w:val="0"/>
          <w:sz w:val="32"/>
          <w:szCs w:val="32"/>
          <w:lang w:eastAsia="zh-CN" w:bidi="ar"/>
        </w:rPr>
        <w:t>教职工</w:t>
      </w:r>
      <w:r>
        <w:rPr>
          <w:rFonts w:hint="eastAsia" w:ascii="方正仿宋_GB2312" w:hAnsi="方正仿宋_GB2312" w:eastAsia="方正仿宋_GB2312" w:cs="方正仿宋_GB2312"/>
          <w:kern w:val="0"/>
          <w:sz w:val="32"/>
          <w:szCs w:val="32"/>
          <w:lang w:val="en-US" w:eastAsia="zh-CN" w:bidi="ar"/>
        </w:rPr>
        <w:t>有</w:t>
      </w:r>
      <w:r>
        <w:rPr>
          <w:rFonts w:hint="eastAsia" w:ascii="方正仿宋_GB2312" w:hAnsi="方正仿宋_GB2312" w:eastAsia="方正仿宋_GB2312" w:cs="方正仿宋_GB2312"/>
          <w:kern w:val="0"/>
          <w:sz w:val="32"/>
          <w:szCs w:val="32"/>
          <w:lang w:eastAsia="zh-CN" w:bidi="ar"/>
        </w:rPr>
        <w:t>健全完善的福利保障体系。除按规定外，更</w:t>
      </w:r>
      <w:r>
        <w:rPr>
          <w:rFonts w:hint="eastAsia" w:ascii="方正仿宋_GB2312" w:hAnsi="方正仿宋_GB2312" w:eastAsia="方正仿宋_GB2312" w:cs="方正仿宋_GB2312"/>
          <w:kern w:val="0"/>
          <w:sz w:val="32"/>
          <w:szCs w:val="32"/>
          <w:lang w:val="en-US" w:eastAsia="zh-CN" w:bidi="ar"/>
        </w:rPr>
        <w:t>有</w:t>
      </w:r>
      <w:r>
        <w:rPr>
          <w:rFonts w:hint="eastAsia" w:ascii="方正仿宋_GB2312" w:hAnsi="方正仿宋_GB2312" w:eastAsia="方正仿宋_GB2312" w:cs="方正仿宋_GB2312"/>
          <w:kern w:val="0"/>
          <w:sz w:val="32"/>
          <w:szCs w:val="32"/>
          <w:lang w:eastAsia="zh-CN" w:bidi="ar"/>
        </w:rPr>
        <w:t>贴心</w:t>
      </w:r>
      <w:r>
        <w:rPr>
          <w:rFonts w:hint="eastAsia" w:ascii="方正仿宋_GB2312" w:hAnsi="方正仿宋_GB2312" w:eastAsia="方正仿宋_GB2312" w:cs="方正仿宋_GB2312"/>
          <w:kern w:val="0"/>
          <w:sz w:val="32"/>
          <w:szCs w:val="32"/>
          <w:lang w:val="en-US" w:eastAsia="zh-CN" w:bidi="ar"/>
        </w:rPr>
        <w:t>的</w:t>
      </w:r>
      <w:r>
        <w:rPr>
          <w:rFonts w:hint="eastAsia" w:ascii="方正仿宋_GB2312" w:hAnsi="方正仿宋_GB2312" w:eastAsia="方正仿宋_GB2312" w:cs="方正仿宋_GB2312"/>
          <w:kern w:val="0"/>
          <w:sz w:val="32"/>
          <w:szCs w:val="32"/>
          <w:lang w:eastAsia="zh-CN" w:bidi="ar"/>
        </w:rPr>
        <w:t>节日慰问、健康关怀等多元化福利。</w:t>
      </w:r>
      <w:r>
        <w:rPr>
          <w:rFonts w:hint="eastAsia" w:ascii="方正仿宋_GB2312" w:hAnsi="方正仿宋_GB2312" w:eastAsia="方正仿宋_GB2312" w:cs="方正仿宋_GB2312"/>
          <w:kern w:val="0"/>
          <w:sz w:val="32"/>
          <w:szCs w:val="32"/>
          <w:lang w:val="en-US" w:eastAsia="zh-CN" w:bidi="ar"/>
        </w:rPr>
        <w:t>学校为</w:t>
      </w:r>
      <w:r>
        <w:rPr>
          <w:rFonts w:hint="eastAsia" w:ascii="方正仿宋_GB2312" w:hAnsi="方正仿宋_GB2312" w:eastAsia="方正仿宋_GB2312" w:cs="方正仿宋_GB2312"/>
          <w:kern w:val="0"/>
          <w:sz w:val="32"/>
          <w:szCs w:val="32"/>
          <w:lang w:eastAsia="zh-CN" w:bidi="ar"/>
        </w:rPr>
        <w:t>教师</w:t>
      </w:r>
      <w:r>
        <w:rPr>
          <w:rFonts w:hint="eastAsia" w:ascii="方正仿宋_GB2312" w:hAnsi="方正仿宋_GB2312" w:eastAsia="方正仿宋_GB2312" w:cs="方正仿宋_GB2312"/>
          <w:kern w:val="0"/>
          <w:sz w:val="32"/>
          <w:szCs w:val="32"/>
          <w:lang w:val="en-US" w:eastAsia="zh-CN" w:bidi="ar"/>
        </w:rPr>
        <w:t>创建</w:t>
      </w:r>
      <w:r>
        <w:rPr>
          <w:rFonts w:hint="eastAsia" w:ascii="方正仿宋_GB2312" w:hAnsi="方正仿宋_GB2312" w:eastAsia="方正仿宋_GB2312" w:cs="方正仿宋_GB2312"/>
          <w:kern w:val="0"/>
          <w:sz w:val="32"/>
          <w:szCs w:val="32"/>
          <w:lang w:eastAsia="zh-CN" w:bidi="ar"/>
        </w:rPr>
        <w:t>人文关怀，</w:t>
      </w:r>
      <w:r>
        <w:rPr>
          <w:rFonts w:hint="eastAsia" w:ascii="方正仿宋_GB2312" w:hAnsi="方正仿宋_GB2312" w:eastAsia="方正仿宋_GB2312" w:cs="方正仿宋_GB2312"/>
          <w:kern w:val="0"/>
          <w:sz w:val="32"/>
          <w:szCs w:val="32"/>
          <w:lang w:val="en-US" w:eastAsia="zh-CN" w:bidi="ar"/>
        </w:rPr>
        <w:t>让教师</w:t>
      </w:r>
      <w:r>
        <w:rPr>
          <w:rFonts w:hint="eastAsia" w:ascii="方正仿宋_GB2312" w:hAnsi="方正仿宋_GB2312" w:eastAsia="方正仿宋_GB2312" w:cs="方正仿宋_GB2312"/>
          <w:kern w:val="0"/>
          <w:sz w:val="32"/>
          <w:szCs w:val="32"/>
          <w:lang w:eastAsia="zh-CN" w:bidi="ar"/>
        </w:rPr>
        <w:t>安心从教、潜心育人，全方位的福利保障既筑牢了教师的经济安全防线，</w:t>
      </w:r>
      <w:r>
        <w:rPr>
          <w:rFonts w:hint="eastAsia" w:ascii="方正仿宋_GB2312" w:hAnsi="方正仿宋_GB2312" w:eastAsia="方正仿宋_GB2312" w:cs="方正仿宋_GB2312"/>
          <w:kern w:val="0"/>
          <w:sz w:val="32"/>
          <w:szCs w:val="32"/>
          <w:lang w:val="en-US" w:eastAsia="zh-CN" w:bidi="ar"/>
        </w:rPr>
        <w:t>有</w:t>
      </w:r>
      <w:r>
        <w:rPr>
          <w:rFonts w:hint="eastAsia" w:ascii="方正仿宋_GB2312" w:hAnsi="方正仿宋_GB2312" w:eastAsia="方正仿宋_GB2312" w:cs="方正仿宋_GB2312"/>
          <w:kern w:val="0"/>
          <w:sz w:val="32"/>
          <w:szCs w:val="32"/>
          <w:lang w:eastAsia="zh-CN" w:bidi="ar"/>
        </w:rPr>
        <w:t>彰显学校对教师队伍的珍视与关爱。</w:t>
      </w:r>
    </w:p>
    <w:p w14:paraId="351D66BD">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5" w:name="_Toc10482"/>
      <w:r>
        <w:rPr>
          <w:rFonts w:hint="eastAsia" w:ascii="方正楷体_GB2312" w:hAnsi="方正楷体_GB2312" w:eastAsia="方正楷体_GB2312" w:cs="方正楷体_GB2312"/>
          <w:b w:val="0"/>
          <w:bCs/>
          <w:lang w:eastAsia="zh-CN"/>
        </w:rPr>
        <w:t>1.5 设施设备</w:t>
      </w:r>
      <w:bookmarkEnd w:id="5"/>
    </w:p>
    <w:p w14:paraId="7331A596">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w:t>
      </w:r>
      <w:r>
        <w:rPr>
          <w:rFonts w:hint="eastAsia" w:ascii="方正仿宋_GB2312" w:hAnsi="方正仿宋_GB2312" w:eastAsia="方正仿宋_GB2312" w:cs="方正仿宋_GB2312"/>
          <w:kern w:val="0"/>
          <w:sz w:val="32"/>
          <w:szCs w:val="32"/>
          <w:lang w:val="en-US" w:eastAsia="zh-CN" w:bidi="ar"/>
        </w:rPr>
        <w:t>致力于</w:t>
      </w:r>
      <w:r>
        <w:rPr>
          <w:rFonts w:hint="eastAsia" w:ascii="方正仿宋_GB2312" w:hAnsi="方正仿宋_GB2312" w:eastAsia="方正仿宋_GB2312" w:cs="方正仿宋_GB2312"/>
          <w:kern w:val="0"/>
          <w:sz w:val="32"/>
          <w:szCs w:val="32"/>
          <w:lang w:eastAsia="zh-CN" w:bidi="ar"/>
        </w:rPr>
        <w:t>打造现代化育人环境，构建覆盖全专业的实践教学设施与多元文化体育阵地。针对护理、</w:t>
      </w:r>
      <w:r>
        <w:rPr>
          <w:rFonts w:hint="eastAsia" w:ascii="方正仿宋_GB2312" w:hAnsi="方正仿宋_GB2312" w:eastAsia="方正仿宋_GB2312" w:cs="方正仿宋_GB2312"/>
          <w:kern w:val="0"/>
          <w:sz w:val="32"/>
          <w:szCs w:val="32"/>
          <w:lang w:val="en-US" w:eastAsia="zh-CN" w:bidi="ar"/>
        </w:rPr>
        <w:t>幼儿保育</w:t>
      </w:r>
      <w:r>
        <w:rPr>
          <w:rFonts w:hint="eastAsia" w:ascii="方正仿宋_GB2312" w:hAnsi="方正仿宋_GB2312" w:eastAsia="方正仿宋_GB2312" w:cs="方正仿宋_GB2312"/>
          <w:kern w:val="0"/>
          <w:sz w:val="32"/>
          <w:szCs w:val="32"/>
          <w:lang w:eastAsia="zh-CN" w:bidi="ar"/>
        </w:rPr>
        <w:t>、计算机、电子商务等专业，建成护理实训室、计算机实</w:t>
      </w:r>
      <w:r>
        <w:rPr>
          <w:rFonts w:hint="eastAsia" w:ascii="方正仿宋_GB2312" w:hAnsi="方正仿宋_GB2312" w:eastAsia="方正仿宋_GB2312" w:cs="方正仿宋_GB2312"/>
          <w:kern w:val="0"/>
          <w:sz w:val="32"/>
          <w:szCs w:val="32"/>
          <w:lang w:val="en-US" w:eastAsia="zh-CN" w:bidi="ar"/>
        </w:rPr>
        <w:t>训</w:t>
      </w:r>
      <w:r>
        <w:rPr>
          <w:rFonts w:hint="eastAsia" w:ascii="方正仿宋_GB2312" w:hAnsi="方正仿宋_GB2312" w:eastAsia="方正仿宋_GB2312" w:cs="方正仿宋_GB2312"/>
          <w:kern w:val="0"/>
          <w:sz w:val="32"/>
          <w:szCs w:val="32"/>
          <w:lang w:eastAsia="zh-CN" w:bidi="ar"/>
        </w:rPr>
        <w:t>室、电子商务实训中心、专业画室等多个实训场所，全</w:t>
      </w:r>
      <w:r>
        <w:rPr>
          <w:rFonts w:hint="eastAsia" w:ascii="方正仿宋_GB2312" w:hAnsi="方正仿宋_GB2312" w:eastAsia="方正仿宋_GB2312" w:cs="方正仿宋_GB2312"/>
          <w:kern w:val="0"/>
          <w:sz w:val="32"/>
          <w:szCs w:val="32"/>
          <w:lang w:val="en-US" w:eastAsia="zh-CN" w:bidi="ar"/>
        </w:rPr>
        <w:t>方位</w:t>
      </w:r>
      <w:r>
        <w:rPr>
          <w:rFonts w:hint="eastAsia" w:ascii="方正仿宋_GB2312" w:hAnsi="方正仿宋_GB2312" w:eastAsia="方正仿宋_GB2312" w:cs="方正仿宋_GB2312"/>
          <w:kern w:val="0"/>
          <w:sz w:val="32"/>
          <w:szCs w:val="32"/>
          <w:lang w:eastAsia="zh-CN" w:bidi="ar"/>
        </w:rPr>
        <w:t>满足各专业实践教学、技能训练需求，助力学生练就过硬本领。</w:t>
      </w:r>
    </w:p>
    <w:p w14:paraId="0E92BD82">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幼儿保育专业幼儿保育实训室配置情况</w:t>
      </w:r>
    </w:p>
    <w:tbl>
      <w:tblPr>
        <w:tblStyle w:val="10"/>
        <w:tblW w:w="8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005"/>
        <w:gridCol w:w="2059"/>
        <w:gridCol w:w="1077"/>
        <w:gridCol w:w="927"/>
        <w:gridCol w:w="1187"/>
      </w:tblGrid>
      <w:tr w14:paraId="4097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7DA4FF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2005" w:type="dxa"/>
            <w:noWrap w:val="0"/>
            <w:vAlign w:val="top"/>
          </w:tcPr>
          <w:p w14:paraId="2F8C62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059" w:type="dxa"/>
            <w:noWrap w:val="0"/>
            <w:vAlign w:val="top"/>
          </w:tcPr>
          <w:p w14:paraId="13667E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077" w:type="dxa"/>
            <w:noWrap w:val="0"/>
            <w:vAlign w:val="top"/>
          </w:tcPr>
          <w:p w14:paraId="7DB4990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927" w:type="dxa"/>
            <w:tcBorders>
              <w:right w:val="single" w:color="000000" w:sz="2" w:space="0"/>
            </w:tcBorders>
            <w:noWrap w:val="0"/>
            <w:vAlign w:val="top"/>
          </w:tcPr>
          <w:p w14:paraId="71D66E5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187" w:type="dxa"/>
            <w:tcBorders>
              <w:left w:val="single" w:color="000000" w:sz="2" w:space="0"/>
            </w:tcBorders>
            <w:noWrap w:val="0"/>
            <w:vAlign w:val="top"/>
          </w:tcPr>
          <w:p w14:paraId="3C7227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44A3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6DEF311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2005" w:type="dxa"/>
            <w:noWrap w:val="0"/>
            <w:vAlign w:val="top"/>
          </w:tcPr>
          <w:p w14:paraId="06EFF31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幼儿园桌椅</w:t>
            </w:r>
          </w:p>
        </w:tc>
        <w:tc>
          <w:tcPr>
            <w:tcW w:w="2059" w:type="dxa"/>
            <w:noWrap w:val="0"/>
            <w:vAlign w:val="center"/>
          </w:tcPr>
          <w:p w14:paraId="42AC2B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center"/>
          </w:tcPr>
          <w:p w14:paraId="29252F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center"/>
          </w:tcPr>
          <w:p w14:paraId="7D7BF3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w:t>
            </w:r>
          </w:p>
        </w:tc>
        <w:tc>
          <w:tcPr>
            <w:tcW w:w="1187" w:type="dxa"/>
            <w:tcBorders>
              <w:left w:val="single" w:color="000000" w:sz="2" w:space="0"/>
            </w:tcBorders>
            <w:noWrap w:val="0"/>
            <w:vAlign w:val="center"/>
          </w:tcPr>
          <w:p w14:paraId="70A09E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10000</w:t>
            </w:r>
          </w:p>
        </w:tc>
      </w:tr>
      <w:tr w14:paraId="4C5C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728DDF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2005" w:type="dxa"/>
            <w:noWrap w:val="0"/>
            <w:vAlign w:val="top"/>
          </w:tcPr>
          <w:p w14:paraId="0D4F0E1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音乐教具</w:t>
            </w:r>
          </w:p>
        </w:tc>
        <w:tc>
          <w:tcPr>
            <w:tcW w:w="2059" w:type="dxa"/>
            <w:noWrap w:val="0"/>
            <w:vAlign w:val="center"/>
          </w:tcPr>
          <w:p w14:paraId="5C3402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center"/>
          </w:tcPr>
          <w:p w14:paraId="0F7FA0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center"/>
          </w:tcPr>
          <w:p w14:paraId="4C1DF4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w:t>
            </w:r>
          </w:p>
        </w:tc>
        <w:tc>
          <w:tcPr>
            <w:tcW w:w="1187" w:type="dxa"/>
            <w:tcBorders>
              <w:left w:val="single" w:color="000000" w:sz="2" w:space="0"/>
            </w:tcBorders>
            <w:noWrap w:val="0"/>
            <w:vAlign w:val="center"/>
          </w:tcPr>
          <w:p w14:paraId="7A09389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10000</w:t>
            </w:r>
          </w:p>
        </w:tc>
      </w:tr>
      <w:tr w14:paraId="5A63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22C08CC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2005" w:type="dxa"/>
            <w:noWrap w:val="0"/>
            <w:vAlign w:val="top"/>
          </w:tcPr>
          <w:p w14:paraId="6C4D60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各活动区玩教具</w:t>
            </w:r>
          </w:p>
        </w:tc>
        <w:tc>
          <w:tcPr>
            <w:tcW w:w="2059" w:type="dxa"/>
            <w:noWrap w:val="0"/>
            <w:vAlign w:val="center"/>
          </w:tcPr>
          <w:p w14:paraId="705B21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center"/>
          </w:tcPr>
          <w:p w14:paraId="196115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center"/>
          </w:tcPr>
          <w:p w14:paraId="208EDAC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w:t>
            </w:r>
          </w:p>
        </w:tc>
        <w:tc>
          <w:tcPr>
            <w:tcW w:w="1187" w:type="dxa"/>
            <w:tcBorders>
              <w:left w:val="single" w:color="000000" w:sz="2" w:space="0"/>
            </w:tcBorders>
            <w:noWrap w:val="0"/>
            <w:vAlign w:val="center"/>
          </w:tcPr>
          <w:p w14:paraId="6DA783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30000</w:t>
            </w:r>
          </w:p>
        </w:tc>
      </w:tr>
      <w:tr w14:paraId="799B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382A63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2005" w:type="dxa"/>
            <w:noWrap w:val="0"/>
            <w:vAlign w:val="center"/>
          </w:tcPr>
          <w:p w14:paraId="68E792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059" w:type="dxa"/>
            <w:noWrap w:val="0"/>
            <w:vAlign w:val="center"/>
          </w:tcPr>
          <w:p w14:paraId="265364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智慧黑板</w:t>
            </w:r>
          </w:p>
        </w:tc>
        <w:tc>
          <w:tcPr>
            <w:tcW w:w="1077" w:type="dxa"/>
            <w:noWrap w:val="0"/>
            <w:vAlign w:val="center"/>
          </w:tcPr>
          <w:p w14:paraId="4F882F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927" w:type="dxa"/>
            <w:tcBorders>
              <w:right w:val="single" w:color="000000" w:sz="2" w:space="0"/>
            </w:tcBorders>
            <w:noWrap w:val="0"/>
            <w:vAlign w:val="center"/>
          </w:tcPr>
          <w:p w14:paraId="19D7C7A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187" w:type="dxa"/>
            <w:tcBorders>
              <w:left w:val="single" w:color="000000" w:sz="2" w:space="0"/>
            </w:tcBorders>
            <w:noWrap w:val="0"/>
            <w:vAlign w:val="center"/>
          </w:tcPr>
          <w:p w14:paraId="732A7A6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50000</w:t>
            </w:r>
          </w:p>
        </w:tc>
      </w:tr>
      <w:tr w14:paraId="2D4A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gridSpan w:val="2"/>
            <w:noWrap w:val="0"/>
            <w:vAlign w:val="top"/>
          </w:tcPr>
          <w:p w14:paraId="0C61C6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059" w:type="dxa"/>
            <w:noWrap w:val="0"/>
            <w:vAlign w:val="top"/>
          </w:tcPr>
          <w:p w14:paraId="4DEB08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top"/>
          </w:tcPr>
          <w:p w14:paraId="00FBFC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top"/>
          </w:tcPr>
          <w:p w14:paraId="799EE0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187" w:type="dxa"/>
            <w:tcBorders>
              <w:left w:val="single" w:color="000000" w:sz="2" w:space="0"/>
            </w:tcBorders>
            <w:noWrap w:val="0"/>
            <w:vAlign w:val="top"/>
          </w:tcPr>
          <w:p w14:paraId="7C2E45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103580</w:t>
            </w:r>
          </w:p>
        </w:tc>
      </w:tr>
    </w:tbl>
    <w:p w14:paraId="3B08C5D5">
      <w:pPr>
        <w:keepNext w:val="0"/>
        <w:keepLines w:val="0"/>
        <w:pageBreakBefore w:val="0"/>
        <w:widowControl w:val="0"/>
        <w:kinsoku/>
        <w:wordWrap/>
        <w:overflowPunct/>
        <w:topLinePunct w:val="0"/>
        <w:autoSpaceDE/>
        <w:autoSpaceDN/>
        <w:bidi w:val="0"/>
        <w:adjustRightInd/>
        <w:snapToGrid/>
        <w:spacing w:line="570" w:lineRule="exact"/>
        <w:ind w:firstLine="2240" w:firstLineChars="7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幼儿保育专业钢琴室配置情况</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98"/>
        <w:gridCol w:w="2677"/>
        <w:gridCol w:w="860"/>
        <w:gridCol w:w="981"/>
        <w:gridCol w:w="1200"/>
      </w:tblGrid>
      <w:tr w14:paraId="2F4C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509E5E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598" w:type="dxa"/>
            <w:noWrap w:val="0"/>
            <w:vAlign w:val="center"/>
          </w:tcPr>
          <w:p w14:paraId="522B6DC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677" w:type="dxa"/>
            <w:noWrap w:val="0"/>
            <w:vAlign w:val="center"/>
          </w:tcPr>
          <w:p w14:paraId="06A072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860" w:type="dxa"/>
            <w:noWrap w:val="0"/>
            <w:vAlign w:val="center"/>
          </w:tcPr>
          <w:p w14:paraId="544615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981" w:type="dxa"/>
            <w:tcBorders>
              <w:right w:val="single" w:color="000000" w:sz="2" w:space="0"/>
            </w:tcBorders>
            <w:noWrap w:val="0"/>
            <w:vAlign w:val="center"/>
          </w:tcPr>
          <w:p w14:paraId="056EDFE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200" w:type="dxa"/>
            <w:tcBorders>
              <w:left w:val="single" w:color="000000" w:sz="2" w:space="0"/>
            </w:tcBorders>
            <w:noWrap w:val="0"/>
            <w:vAlign w:val="center"/>
          </w:tcPr>
          <w:p w14:paraId="5714BC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02A2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700009A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598" w:type="dxa"/>
            <w:noWrap w:val="0"/>
            <w:vAlign w:val="center"/>
          </w:tcPr>
          <w:p w14:paraId="1665EA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钢琴</w:t>
            </w:r>
          </w:p>
        </w:tc>
        <w:tc>
          <w:tcPr>
            <w:tcW w:w="2677" w:type="dxa"/>
            <w:noWrap w:val="0"/>
            <w:vAlign w:val="center"/>
          </w:tcPr>
          <w:p w14:paraId="7F18A1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专业教学钢琴，含琴凳、琴套</w:t>
            </w:r>
          </w:p>
        </w:tc>
        <w:tc>
          <w:tcPr>
            <w:tcW w:w="860" w:type="dxa"/>
            <w:noWrap w:val="0"/>
            <w:vAlign w:val="center"/>
          </w:tcPr>
          <w:p w14:paraId="1A55A1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981" w:type="dxa"/>
            <w:tcBorders>
              <w:right w:val="single" w:color="000000" w:sz="2" w:space="0"/>
            </w:tcBorders>
            <w:noWrap w:val="0"/>
            <w:vAlign w:val="center"/>
          </w:tcPr>
          <w:p w14:paraId="05B4301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center"/>
          </w:tcPr>
          <w:p w14:paraId="0BBF58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18000</w:t>
            </w:r>
          </w:p>
        </w:tc>
      </w:tr>
      <w:tr w14:paraId="5B1C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1BDEB16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598" w:type="dxa"/>
            <w:noWrap w:val="0"/>
            <w:vAlign w:val="center"/>
          </w:tcPr>
          <w:p w14:paraId="3969CC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乐理电子示教板</w:t>
            </w:r>
          </w:p>
        </w:tc>
        <w:tc>
          <w:tcPr>
            <w:tcW w:w="2677" w:type="dxa"/>
            <w:noWrap w:val="0"/>
            <w:vAlign w:val="center"/>
          </w:tcPr>
          <w:p w14:paraId="2C3BF55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1700mmX850mmX60mm</w:t>
            </w:r>
          </w:p>
        </w:tc>
        <w:tc>
          <w:tcPr>
            <w:tcW w:w="860" w:type="dxa"/>
            <w:noWrap w:val="0"/>
            <w:vAlign w:val="center"/>
          </w:tcPr>
          <w:p w14:paraId="711C4E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块</w:t>
            </w:r>
          </w:p>
        </w:tc>
        <w:tc>
          <w:tcPr>
            <w:tcW w:w="981" w:type="dxa"/>
            <w:tcBorders>
              <w:right w:val="single" w:color="000000" w:sz="2" w:space="0"/>
            </w:tcBorders>
            <w:noWrap w:val="0"/>
            <w:vAlign w:val="center"/>
          </w:tcPr>
          <w:p w14:paraId="712398C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center"/>
          </w:tcPr>
          <w:p w14:paraId="3AF87B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2500</w:t>
            </w:r>
          </w:p>
        </w:tc>
      </w:tr>
      <w:tr w14:paraId="19C9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7C7702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598" w:type="dxa"/>
            <w:noWrap w:val="0"/>
            <w:vAlign w:val="center"/>
          </w:tcPr>
          <w:p w14:paraId="39A1F9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677" w:type="dxa"/>
            <w:noWrap w:val="0"/>
            <w:vAlign w:val="center"/>
          </w:tcPr>
          <w:p w14:paraId="48CCE1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电脑、视频展台、投影机、投影幕、中控、音响系统等</w:t>
            </w:r>
          </w:p>
        </w:tc>
        <w:tc>
          <w:tcPr>
            <w:tcW w:w="860" w:type="dxa"/>
            <w:noWrap w:val="0"/>
            <w:vAlign w:val="center"/>
          </w:tcPr>
          <w:p w14:paraId="7F5D292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981" w:type="dxa"/>
            <w:tcBorders>
              <w:right w:val="single" w:color="000000" w:sz="2" w:space="0"/>
            </w:tcBorders>
            <w:noWrap w:val="0"/>
            <w:vAlign w:val="center"/>
          </w:tcPr>
          <w:p w14:paraId="20746B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center"/>
          </w:tcPr>
          <w:p w14:paraId="73F911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68000</w:t>
            </w:r>
          </w:p>
        </w:tc>
      </w:tr>
      <w:tr w14:paraId="3C34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77D6785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598" w:type="dxa"/>
            <w:noWrap w:val="0"/>
            <w:vAlign w:val="center"/>
          </w:tcPr>
          <w:p w14:paraId="258FC7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节拍器</w:t>
            </w:r>
          </w:p>
        </w:tc>
        <w:tc>
          <w:tcPr>
            <w:tcW w:w="2677" w:type="dxa"/>
            <w:noWrap w:val="0"/>
            <w:vAlign w:val="center"/>
          </w:tcPr>
          <w:p w14:paraId="2489EF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国际、机械式</w:t>
            </w:r>
          </w:p>
        </w:tc>
        <w:tc>
          <w:tcPr>
            <w:tcW w:w="860" w:type="dxa"/>
            <w:noWrap w:val="0"/>
            <w:vAlign w:val="center"/>
          </w:tcPr>
          <w:p w14:paraId="072290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981" w:type="dxa"/>
            <w:tcBorders>
              <w:right w:val="single" w:color="000000" w:sz="2" w:space="0"/>
            </w:tcBorders>
            <w:noWrap w:val="0"/>
            <w:vAlign w:val="center"/>
          </w:tcPr>
          <w:p w14:paraId="259AD31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center"/>
          </w:tcPr>
          <w:p w14:paraId="0DEB0D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1C47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24B0DE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w:t>
            </w:r>
          </w:p>
        </w:tc>
        <w:tc>
          <w:tcPr>
            <w:tcW w:w="1598" w:type="dxa"/>
            <w:noWrap w:val="0"/>
            <w:vAlign w:val="center"/>
          </w:tcPr>
          <w:p w14:paraId="716D007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乐谱架</w:t>
            </w:r>
          </w:p>
        </w:tc>
        <w:tc>
          <w:tcPr>
            <w:tcW w:w="2677" w:type="dxa"/>
            <w:noWrap w:val="0"/>
            <w:vAlign w:val="center"/>
          </w:tcPr>
          <w:p w14:paraId="041175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860" w:type="dxa"/>
            <w:noWrap w:val="0"/>
            <w:vAlign w:val="center"/>
          </w:tcPr>
          <w:p w14:paraId="5315CB9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981" w:type="dxa"/>
            <w:tcBorders>
              <w:right w:val="single" w:color="000000" w:sz="2" w:space="0"/>
            </w:tcBorders>
            <w:noWrap w:val="0"/>
            <w:vAlign w:val="center"/>
          </w:tcPr>
          <w:p w14:paraId="49F5F69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center"/>
          </w:tcPr>
          <w:p w14:paraId="0429364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4FD9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409020F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598" w:type="dxa"/>
            <w:noWrap w:val="0"/>
            <w:vAlign w:val="center"/>
          </w:tcPr>
          <w:p w14:paraId="5E63CA8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桌椅</w:t>
            </w:r>
          </w:p>
        </w:tc>
        <w:tc>
          <w:tcPr>
            <w:tcW w:w="2677" w:type="dxa"/>
            <w:noWrap w:val="0"/>
            <w:vAlign w:val="center"/>
          </w:tcPr>
          <w:p w14:paraId="71BF64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860" w:type="dxa"/>
            <w:noWrap w:val="0"/>
            <w:vAlign w:val="center"/>
          </w:tcPr>
          <w:p w14:paraId="3014F7E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981" w:type="dxa"/>
            <w:tcBorders>
              <w:right w:val="single" w:color="000000" w:sz="2" w:space="0"/>
            </w:tcBorders>
            <w:noWrap w:val="0"/>
            <w:vAlign w:val="center"/>
          </w:tcPr>
          <w:p w14:paraId="69FCA64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200</w:t>
            </w:r>
          </w:p>
        </w:tc>
        <w:tc>
          <w:tcPr>
            <w:tcW w:w="1200" w:type="dxa"/>
            <w:tcBorders>
              <w:left w:val="single" w:color="000000" w:sz="2" w:space="0"/>
            </w:tcBorders>
            <w:noWrap w:val="0"/>
            <w:vAlign w:val="center"/>
          </w:tcPr>
          <w:p w14:paraId="5F375C8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108000</w:t>
            </w:r>
          </w:p>
        </w:tc>
      </w:tr>
      <w:tr w14:paraId="1035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gridSpan w:val="2"/>
            <w:noWrap w:val="0"/>
            <w:vAlign w:val="center"/>
          </w:tcPr>
          <w:p w14:paraId="7F08F5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677" w:type="dxa"/>
            <w:noWrap w:val="0"/>
            <w:vAlign w:val="center"/>
          </w:tcPr>
          <w:p w14:paraId="4A069D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860" w:type="dxa"/>
            <w:noWrap w:val="0"/>
            <w:vAlign w:val="center"/>
          </w:tcPr>
          <w:p w14:paraId="31AE60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981" w:type="dxa"/>
            <w:tcBorders>
              <w:right w:val="single" w:color="000000" w:sz="2" w:space="0"/>
            </w:tcBorders>
            <w:noWrap w:val="0"/>
            <w:vAlign w:val="center"/>
          </w:tcPr>
          <w:p w14:paraId="48B8C6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200" w:type="dxa"/>
            <w:tcBorders>
              <w:left w:val="single" w:color="000000" w:sz="2" w:space="0"/>
            </w:tcBorders>
            <w:noWrap w:val="0"/>
            <w:vAlign w:val="center"/>
          </w:tcPr>
          <w:p w14:paraId="5EC6F4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197100</w:t>
            </w:r>
          </w:p>
        </w:tc>
      </w:tr>
    </w:tbl>
    <w:p w14:paraId="137F06B6">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幼儿保育专业单间琴室配置情况</w:t>
      </w:r>
    </w:p>
    <w:tbl>
      <w:tblPr>
        <w:tblStyle w:val="10"/>
        <w:tblW w:w="8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13"/>
        <w:gridCol w:w="3464"/>
        <w:gridCol w:w="914"/>
        <w:gridCol w:w="709"/>
        <w:gridCol w:w="1104"/>
      </w:tblGrid>
      <w:tr w14:paraId="778A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168CE3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213" w:type="dxa"/>
            <w:noWrap w:val="0"/>
            <w:vAlign w:val="center"/>
          </w:tcPr>
          <w:p w14:paraId="7F8F4B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3464" w:type="dxa"/>
            <w:noWrap w:val="0"/>
            <w:vAlign w:val="center"/>
          </w:tcPr>
          <w:p w14:paraId="3D85F2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914" w:type="dxa"/>
            <w:noWrap w:val="0"/>
            <w:vAlign w:val="center"/>
          </w:tcPr>
          <w:p w14:paraId="66F3FA9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09" w:type="dxa"/>
            <w:tcBorders>
              <w:right w:val="single" w:color="000000" w:sz="2" w:space="0"/>
            </w:tcBorders>
            <w:noWrap w:val="0"/>
            <w:vAlign w:val="center"/>
          </w:tcPr>
          <w:p w14:paraId="614B7D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104" w:type="dxa"/>
            <w:tcBorders>
              <w:left w:val="single" w:color="000000" w:sz="2" w:space="0"/>
            </w:tcBorders>
            <w:noWrap w:val="0"/>
            <w:vAlign w:val="center"/>
          </w:tcPr>
          <w:p w14:paraId="5F63A53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58F2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825" w:type="dxa"/>
            <w:noWrap w:val="0"/>
            <w:vAlign w:val="center"/>
          </w:tcPr>
          <w:p w14:paraId="67A2113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3" w:type="dxa"/>
            <w:noWrap w:val="0"/>
            <w:vAlign w:val="center"/>
          </w:tcPr>
          <w:p w14:paraId="3D81593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钢琴</w:t>
            </w:r>
          </w:p>
        </w:tc>
        <w:tc>
          <w:tcPr>
            <w:tcW w:w="3464" w:type="dxa"/>
            <w:noWrap w:val="0"/>
            <w:vAlign w:val="center"/>
          </w:tcPr>
          <w:p w14:paraId="2BB891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专业教学钢琴，含琴凳、琴套</w:t>
            </w:r>
          </w:p>
        </w:tc>
        <w:tc>
          <w:tcPr>
            <w:tcW w:w="914" w:type="dxa"/>
            <w:noWrap w:val="0"/>
            <w:vAlign w:val="center"/>
          </w:tcPr>
          <w:p w14:paraId="11A3111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09" w:type="dxa"/>
            <w:tcBorders>
              <w:right w:val="single" w:color="000000" w:sz="2" w:space="0"/>
            </w:tcBorders>
            <w:noWrap w:val="0"/>
            <w:vAlign w:val="center"/>
          </w:tcPr>
          <w:p w14:paraId="11295B0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104" w:type="dxa"/>
            <w:tcBorders>
              <w:left w:val="single" w:color="000000" w:sz="2" w:space="0"/>
            </w:tcBorders>
            <w:noWrap w:val="0"/>
            <w:vAlign w:val="center"/>
          </w:tcPr>
          <w:p w14:paraId="42289F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72000</w:t>
            </w:r>
          </w:p>
        </w:tc>
      </w:tr>
      <w:tr w14:paraId="40F9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7F93A1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13" w:type="dxa"/>
            <w:noWrap w:val="0"/>
            <w:vAlign w:val="center"/>
          </w:tcPr>
          <w:p w14:paraId="05FBEFA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风扇</w:t>
            </w:r>
          </w:p>
        </w:tc>
        <w:tc>
          <w:tcPr>
            <w:tcW w:w="3464" w:type="dxa"/>
            <w:noWrap w:val="0"/>
            <w:vAlign w:val="center"/>
          </w:tcPr>
          <w:p w14:paraId="1AA745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914" w:type="dxa"/>
            <w:noWrap w:val="0"/>
            <w:vAlign w:val="center"/>
          </w:tcPr>
          <w:p w14:paraId="26BABBB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09" w:type="dxa"/>
            <w:tcBorders>
              <w:right w:val="single" w:color="000000" w:sz="2" w:space="0"/>
            </w:tcBorders>
            <w:noWrap w:val="0"/>
            <w:vAlign w:val="center"/>
          </w:tcPr>
          <w:p w14:paraId="246DC9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w:t>
            </w:r>
          </w:p>
        </w:tc>
        <w:tc>
          <w:tcPr>
            <w:tcW w:w="1104" w:type="dxa"/>
            <w:tcBorders>
              <w:left w:val="single" w:color="000000" w:sz="2" w:space="0"/>
            </w:tcBorders>
            <w:noWrap w:val="0"/>
            <w:vAlign w:val="center"/>
          </w:tcPr>
          <w:p w14:paraId="3C8FEC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2000</w:t>
            </w:r>
          </w:p>
        </w:tc>
      </w:tr>
      <w:tr w14:paraId="48E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gridSpan w:val="2"/>
            <w:noWrap w:val="0"/>
            <w:vAlign w:val="center"/>
          </w:tcPr>
          <w:p w14:paraId="568C2F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3464" w:type="dxa"/>
            <w:noWrap w:val="0"/>
            <w:vAlign w:val="center"/>
          </w:tcPr>
          <w:p w14:paraId="5B4D672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914" w:type="dxa"/>
            <w:noWrap w:val="0"/>
            <w:vAlign w:val="center"/>
          </w:tcPr>
          <w:p w14:paraId="40E4A0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09" w:type="dxa"/>
            <w:tcBorders>
              <w:right w:val="single" w:color="000000" w:sz="2" w:space="0"/>
            </w:tcBorders>
            <w:noWrap w:val="0"/>
            <w:vAlign w:val="center"/>
          </w:tcPr>
          <w:p w14:paraId="3DF188A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04" w:type="dxa"/>
            <w:tcBorders>
              <w:left w:val="single" w:color="000000" w:sz="2" w:space="0"/>
            </w:tcBorders>
            <w:noWrap w:val="0"/>
            <w:vAlign w:val="center"/>
          </w:tcPr>
          <w:p w14:paraId="5BB7FB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74000</w:t>
            </w:r>
          </w:p>
        </w:tc>
      </w:tr>
    </w:tbl>
    <w:p w14:paraId="123460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幼儿保育专业数码钢琴室配置情况</w:t>
      </w:r>
    </w:p>
    <w:tbl>
      <w:tblPr>
        <w:tblStyle w:val="10"/>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532"/>
        <w:gridCol w:w="2822"/>
        <w:gridCol w:w="1173"/>
        <w:gridCol w:w="723"/>
        <w:gridCol w:w="1200"/>
      </w:tblGrid>
      <w:tr w14:paraId="375E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2F2197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532" w:type="dxa"/>
            <w:noWrap w:val="0"/>
            <w:vAlign w:val="top"/>
          </w:tcPr>
          <w:p w14:paraId="50C0F19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822" w:type="dxa"/>
            <w:noWrap w:val="0"/>
            <w:vAlign w:val="top"/>
          </w:tcPr>
          <w:p w14:paraId="0B23E99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173" w:type="dxa"/>
            <w:noWrap w:val="0"/>
            <w:vAlign w:val="top"/>
          </w:tcPr>
          <w:p w14:paraId="7541A5A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23" w:type="dxa"/>
            <w:tcBorders>
              <w:right w:val="single" w:color="000000" w:sz="2" w:space="0"/>
            </w:tcBorders>
            <w:noWrap w:val="0"/>
            <w:vAlign w:val="top"/>
          </w:tcPr>
          <w:p w14:paraId="661DF8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200" w:type="dxa"/>
            <w:tcBorders>
              <w:left w:val="single" w:color="000000" w:sz="2" w:space="0"/>
            </w:tcBorders>
            <w:noWrap w:val="0"/>
            <w:vAlign w:val="top"/>
          </w:tcPr>
          <w:p w14:paraId="10E645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2CF8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7B5B170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532" w:type="dxa"/>
            <w:noWrap w:val="0"/>
            <w:vAlign w:val="top"/>
          </w:tcPr>
          <w:p w14:paraId="13E8D49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教师用琴</w:t>
            </w:r>
          </w:p>
        </w:tc>
        <w:tc>
          <w:tcPr>
            <w:tcW w:w="2822" w:type="dxa"/>
            <w:noWrap w:val="0"/>
            <w:vAlign w:val="top"/>
          </w:tcPr>
          <w:p w14:paraId="1360E4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专业教学数码钢琴，含琴凳、琴套</w:t>
            </w:r>
          </w:p>
        </w:tc>
        <w:tc>
          <w:tcPr>
            <w:tcW w:w="1173" w:type="dxa"/>
            <w:noWrap w:val="0"/>
            <w:vAlign w:val="top"/>
          </w:tcPr>
          <w:p w14:paraId="118216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23" w:type="dxa"/>
            <w:tcBorders>
              <w:right w:val="single" w:color="000000" w:sz="2" w:space="0"/>
            </w:tcBorders>
            <w:noWrap w:val="0"/>
            <w:vAlign w:val="top"/>
          </w:tcPr>
          <w:p w14:paraId="30EF2DF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top"/>
          </w:tcPr>
          <w:p w14:paraId="234C1D6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w:t>
            </w:r>
          </w:p>
        </w:tc>
      </w:tr>
      <w:tr w14:paraId="0F5F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5D69116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532" w:type="dxa"/>
            <w:noWrap w:val="0"/>
            <w:vAlign w:val="top"/>
          </w:tcPr>
          <w:p w14:paraId="320868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学生用琴</w:t>
            </w:r>
          </w:p>
        </w:tc>
        <w:tc>
          <w:tcPr>
            <w:tcW w:w="2822" w:type="dxa"/>
            <w:noWrap w:val="0"/>
            <w:vAlign w:val="top"/>
          </w:tcPr>
          <w:p w14:paraId="202BDF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学生练习用数码钢琴，含琴凳、琴套</w:t>
            </w:r>
          </w:p>
        </w:tc>
        <w:tc>
          <w:tcPr>
            <w:tcW w:w="1173" w:type="dxa"/>
            <w:noWrap w:val="0"/>
            <w:vAlign w:val="top"/>
          </w:tcPr>
          <w:p w14:paraId="0628257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23" w:type="dxa"/>
            <w:tcBorders>
              <w:right w:val="single" w:color="000000" w:sz="2" w:space="0"/>
            </w:tcBorders>
            <w:noWrap w:val="0"/>
            <w:vAlign w:val="top"/>
          </w:tcPr>
          <w:p w14:paraId="1240E5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32</w:t>
            </w:r>
          </w:p>
        </w:tc>
        <w:tc>
          <w:tcPr>
            <w:tcW w:w="1200" w:type="dxa"/>
            <w:tcBorders>
              <w:left w:val="single" w:color="000000" w:sz="2" w:space="0"/>
            </w:tcBorders>
            <w:noWrap w:val="0"/>
            <w:vAlign w:val="top"/>
          </w:tcPr>
          <w:p w14:paraId="560338A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128000</w:t>
            </w:r>
          </w:p>
        </w:tc>
      </w:tr>
      <w:tr w14:paraId="436F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6F6E43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532" w:type="dxa"/>
            <w:noWrap w:val="0"/>
            <w:vAlign w:val="top"/>
          </w:tcPr>
          <w:p w14:paraId="3DD9CE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乐理电子示教板</w:t>
            </w:r>
          </w:p>
        </w:tc>
        <w:tc>
          <w:tcPr>
            <w:tcW w:w="2822" w:type="dxa"/>
            <w:noWrap w:val="0"/>
            <w:vAlign w:val="top"/>
          </w:tcPr>
          <w:p w14:paraId="1B8246C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1700mmX850mmX60mm</w:t>
            </w:r>
          </w:p>
        </w:tc>
        <w:tc>
          <w:tcPr>
            <w:tcW w:w="1173" w:type="dxa"/>
            <w:noWrap w:val="0"/>
            <w:vAlign w:val="top"/>
          </w:tcPr>
          <w:p w14:paraId="49FD1D6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块</w:t>
            </w:r>
          </w:p>
        </w:tc>
        <w:tc>
          <w:tcPr>
            <w:tcW w:w="723" w:type="dxa"/>
            <w:tcBorders>
              <w:right w:val="single" w:color="000000" w:sz="2" w:space="0"/>
            </w:tcBorders>
            <w:noWrap w:val="0"/>
            <w:vAlign w:val="top"/>
          </w:tcPr>
          <w:p w14:paraId="011F91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top"/>
          </w:tcPr>
          <w:p w14:paraId="7062B2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2500</w:t>
            </w:r>
          </w:p>
        </w:tc>
      </w:tr>
      <w:tr w14:paraId="3EAB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227FCE3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532" w:type="dxa"/>
            <w:noWrap w:val="0"/>
            <w:vAlign w:val="top"/>
          </w:tcPr>
          <w:p w14:paraId="624C78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822" w:type="dxa"/>
            <w:noWrap w:val="0"/>
            <w:vAlign w:val="top"/>
          </w:tcPr>
          <w:p w14:paraId="42946E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智慧黑板</w:t>
            </w:r>
          </w:p>
        </w:tc>
        <w:tc>
          <w:tcPr>
            <w:tcW w:w="1173" w:type="dxa"/>
            <w:noWrap w:val="0"/>
            <w:vAlign w:val="top"/>
          </w:tcPr>
          <w:p w14:paraId="0BFD5C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23" w:type="dxa"/>
            <w:tcBorders>
              <w:right w:val="single" w:color="000000" w:sz="2" w:space="0"/>
            </w:tcBorders>
            <w:noWrap w:val="0"/>
            <w:vAlign w:val="top"/>
          </w:tcPr>
          <w:p w14:paraId="37DFD8A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top"/>
          </w:tcPr>
          <w:p w14:paraId="259B2D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50000</w:t>
            </w:r>
          </w:p>
        </w:tc>
      </w:tr>
      <w:tr w14:paraId="4022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2952A3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w:t>
            </w:r>
          </w:p>
        </w:tc>
        <w:tc>
          <w:tcPr>
            <w:tcW w:w="1532" w:type="dxa"/>
            <w:noWrap w:val="0"/>
            <w:vAlign w:val="top"/>
          </w:tcPr>
          <w:p w14:paraId="1BE80D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节拍器</w:t>
            </w:r>
          </w:p>
        </w:tc>
        <w:tc>
          <w:tcPr>
            <w:tcW w:w="2822" w:type="dxa"/>
            <w:noWrap w:val="0"/>
            <w:vAlign w:val="top"/>
          </w:tcPr>
          <w:p w14:paraId="2616FF4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国际、机械式</w:t>
            </w:r>
          </w:p>
        </w:tc>
        <w:tc>
          <w:tcPr>
            <w:tcW w:w="1173" w:type="dxa"/>
            <w:noWrap w:val="0"/>
            <w:vAlign w:val="top"/>
          </w:tcPr>
          <w:p w14:paraId="285A06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23" w:type="dxa"/>
            <w:tcBorders>
              <w:right w:val="single" w:color="000000" w:sz="2" w:space="0"/>
            </w:tcBorders>
            <w:noWrap w:val="0"/>
            <w:vAlign w:val="top"/>
          </w:tcPr>
          <w:p w14:paraId="52D81B4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top"/>
          </w:tcPr>
          <w:p w14:paraId="3B5162D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4715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58ACA99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532" w:type="dxa"/>
            <w:noWrap w:val="0"/>
            <w:vAlign w:val="top"/>
          </w:tcPr>
          <w:p w14:paraId="469B2D9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乐谱架</w:t>
            </w:r>
          </w:p>
        </w:tc>
        <w:tc>
          <w:tcPr>
            <w:tcW w:w="2822" w:type="dxa"/>
            <w:noWrap w:val="0"/>
            <w:vAlign w:val="top"/>
          </w:tcPr>
          <w:p w14:paraId="663BB0D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73" w:type="dxa"/>
            <w:noWrap w:val="0"/>
            <w:vAlign w:val="top"/>
          </w:tcPr>
          <w:p w14:paraId="7890CD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23" w:type="dxa"/>
            <w:tcBorders>
              <w:right w:val="single" w:color="000000" w:sz="2" w:space="0"/>
            </w:tcBorders>
            <w:noWrap w:val="0"/>
            <w:vAlign w:val="top"/>
          </w:tcPr>
          <w:p w14:paraId="4B5D86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top"/>
          </w:tcPr>
          <w:p w14:paraId="1AFB3C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1A9E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6" w:type="dxa"/>
            <w:gridSpan w:val="2"/>
            <w:noWrap w:val="0"/>
            <w:vAlign w:val="top"/>
          </w:tcPr>
          <w:p w14:paraId="6A05FC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822" w:type="dxa"/>
            <w:noWrap w:val="0"/>
            <w:vAlign w:val="top"/>
          </w:tcPr>
          <w:p w14:paraId="7D036D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73" w:type="dxa"/>
            <w:noWrap w:val="0"/>
            <w:vAlign w:val="top"/>
          </w:tcPr>
          <w:p w14:paraId="62A3F6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23" w:type="dxa"/>
            <w:tcBorders>
              <w:right w:val="single" w:color="000000" w:sz="2" w:space="0"/>
            </w:tcBorders>
            <w:noWrap w:val="0"/>
            <w:vAlign w:val="top"/>
          </w:tcPr>
          <w:p w14:paraId="48689E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200" w:type="dxa"/>
            <w:tcBorders>
              <w:left w:val="single" w:color="000000" w:sz="2" w:space="0"/>
            </w:tcBorders>
            <w:noWrap w:val="0"/>
            <w:vAlign w:val="top"/>
          </w:tcPr>
          <w:p w14:paraId="297B73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186100</w:t>
            </w:r>
          </w:p>
        </w:tc>
      </w:tr>
    </w:tbl>
    <w:p w14:paraId="34CC5D5E">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幼儿保育专业舞蹈室配置情况</w:t>
      </w:r>
    </w:p>
    <w:tbl>
      <w:tblPr>
        <w:tblStyle w:val="10"/>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568"/>
        <w:gridCol w:w="2823"/>
        <w:gridCol w:w="1159"/>
        <w:gridCol w:w="736"/>
        <w:gridCol w:w="1214"/>
      </w:tblGrid>
      <w:tr w14:paraId="77A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827AC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568" w:type="dxa"/>
            <w:noWrap w:val="0"/>
            <w:vAlign w:val="center"/>
          </w:tcPr>
          <w:p w14:paraId="231DD7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823" w:type="dxa"/>
            <w:noWrap w:val="0"/>
            <w:vAlign w:val="center"/>
          </w:tcPr>
          <w:p w14:paraId="20EBDB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159" w:type="dxa"/>
            <w:noWrap w:val="0"/>
            <w:vAlign w:val="center"/>
          </w:tcPr>
          <w:p w14:paraId="7AE2D93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36" w:type="dxa"/>
            <w:tcBorders>
              <w:right w:val="single" w:color="000000" w:sz="2" w:space="0"/>
            </w:tcBorders>
            <w:noWrap w:val="0"/>
            <w:vAlign w:val="center"/>
          </w:tcPr>
          <w:p w14:paraId="180D1DF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214" w:type="dxa"/>
            <w:tcBorders>
              <w:left w:val="single" w:color="000000" w:sz="2" w:space="0"/>
            </w:tcBorders>
            <w:noWrap w:val="0"/>
            <w:vAlign w:val="center"/>
          </w:tcPr>
          <w:p w14:paraId="62DA06A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50BC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41237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568" w:type="dxa"/>
            <w:noWrap w:val="0"/>
            <w:vAlign w:val="center"/>
          </w:tcPr>
          <w:p w14:paraId="71F9B33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823" w:type="dxa"/>
            <w:noWrap w:val="0"/>
            <w:vAlign w:val="center"/>
          </w:tcPr>
          <w:p w14:paraId="68BA7A8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电脑、视频展台、投影机、投影幕、中控、音响系统等</w:t>
            </w:r>
          </w:p>
        </w:tc>
        <w:tc>
          <w:tcPr>
            <w:tcW w:w="1159" w:type="dxa"/>
            <w:noWrap w:val="0"/>
            <w:vAlign w:val="center"/>
          </w:tcPr>
          <w:p w14:paraId="08ED5C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36" w:type="dxa"/>
            <w:tcBorders>
              <w:right w:val="single" w:color="000000" w:sz="2" w:space="0"/>
            </w:tcBorders>
            <w:noWrap w:val="0"/>
            <w:vAlign w:val="center"/>
          </w:tcPr>
          <w:p w14:paraId="6C88882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4" w:type="dxa"/>
            <w:tcBorders>
              <w:left w:val="single" w:color="000000" w:sz="2" w:space="0"/>
            </w:tcBorders>
            <w:noWrap w:val="0"/>
            <w:vAlign w:val="center"/>
          </w:tcPr>
          <w:p w14:paraId="00225B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68000</w:t>
            </w:r>
          </w:p>
        </w:tc>
      </w:tr>
      <w:tr w14:paraId="375A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5CF768D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568" w:type="dxa"/>
            <w:noWrap w:val="0"/>
            <w:vAlign w:val="center"/>
          </w:tcPr>
          <w:p w14:paraId="0C03295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把杆</w:t>
            </w:r>
          </w:p>
        </w:tc>
        <w:tc>
          <w:tcPr>
            <w:tcW w:w="2823" w:type="dxa"/>
            <w:noWrap w:val="0"/>
            <w:vAlign w:val="center"/>
          </w:tcPr>
          <w:p w14:paraId="3253D4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高度大于900mm</w:t>
            </w:r>
          </w:p>
        </w:tc>
        <w:tc>
          <w:tcPr>
            <w:tcW w:w="1159" w:type="dxa"/>
            <w:noWrap w:val="0"/>
            <w:vAlign w:val="center"/>
          </w:tcPr>
          <w:p w14:paraId="6491A3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付</w:t>
            </w:r>
          </w:p>
        </w:tc>
        <w:tc>
          <w:tcPr>
            <w:tcW w:w="736" w:type="dxa"/>
            <w:tcBorders>
              <w:right w:val="single" w:color="000000" w:sz="2" w:space="0"/>
            </w:tcBorders>
            <w:noWrap w:val="0"/>
            <w:vAlign w:val="center"/>
          </w:tcPr>
          <w:p w14:paraId="5FF80E7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14" w:type="dxa"/>
            <w:tcBorders>
              <w:left w:val="single" w:color="000000" w:sz="2" w:space="0"/>
            </w:tcBorders>
            <w:noWrap w:val="0"/>
            <w:vAlign w:val="center"/>
          </w:tcPr>
          <w:p w14:paraId="6B2AE0F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w:t>
            </w:r>
          </w:p>
        </w:tc>
      </w:tr>
      <w:tr w14:paraId="3AB8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0F47981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568" w:type="dxa"/>
            <w:noWrap w:val="0"/>
            <w:vAlign w:val="center"/>
          </w:tcPr>
          <w:p w14:paraId="5A49A1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墙镜</w:t>
            </w:r>
          </w:p>
        </w:tc>
        <w:tc>
          <w:tcPr>
            <w:tcW w:w="2823" w:type="dxa"/>
            <w:noWrap w:val="0"/>
            <w:vAlign w:val="center"/>
          </w:tcPr>
          <w:p w14:paraId="104350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高度大于2100mm</w:t>
            </w:r>
          </w:p>
        </w:tc>
        <w:tc>
          <w:tcPr>
            <w:tcW w:w="1159" w:type="dxa"/>
            <w:noWrap w:val="0"/>
            <w:vAlign w:val="center"/>
          </w:tcPr>
          <w:p w14:paraId="38455A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幅</w:t>
            </w:r>
          </w:p>
        </w:tc>
        <w:tc>
          <w:tcPr>
            <w:tcW w:w="736" w:type="dxa"/>
            <w:tcBorders>
              <w:right w:val="single" w:color="000000" w:sz="2" w:space="0"/>
            </w:tcBorders>
            <w:noWrap w:val="0"/>
            <w:vAlign w:val="center"/>
          </w:tcPr>
          <w:p w14:paraId="2D2CA2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4" w:type="dxa"/>
            <w:tcBorders>
              <w:left w:val="single" w:color="000000" w:sz="2" w:space="0"/>
            </w:tcBorders>
            <w:noWrap w:val="0"/>
            <w:vAlign w:val="center"/>
          </w:tcPr>
          <w:p w14:paraId="533EA59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8000</w:t>
            </w:r>
          </w:p>
        </w:tc>
      </w:tr>
      <w:tr w14:paraId="5688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0EF8D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568" w:type="dxa"/>
            <w:noWrap w:val="0"/>
            <w:vAlign w:val="center"/>
          </w:tcPr>
          <w:p w14:paraId="32000C7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液晶电视</w:t>
            </w:r>
          </w:p>
        </w:tc>
        <w:tc>
          <w:tcPr>
            <w:tcW w:w="2823" w:type="dxa"/>
            <w:noWrap w:val="0"/>
            <w:vAlign w:val="center"/>
          </w:tcPr>
          <w:p w14:paraId="7B5ACB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大于50寸</w:t>
            </w:r>
          </w:p>
        </w:tc>
        <w:tc>
          <w:tcPr>
            <w:tcW w:w="1159" w:type="dxa"/>
            <w:noWrap w:val="0"/>
            <w:vAlign w:val="center"/>
          </w:tcPr>
          <w:p w14:paraId="4FCA5D3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36" w:type="dxa"/>
            <w:tcBorders>
              <w:right w:val="single" w:color="000000" w:sz="2" w:space="0"/>
            </w:tcBorders>
            <w:noWrap w:val="0"/>
            <w:vAlign w:val="center"/>
          </w:tcPr>
          <w:p w14:paraId="5E6B6FA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14" w:type="dxa"/>
            <w:tcBorders>
              <w:left w:val="single" w:color="000000" w:sz="2" w:space="0"/>
            </w:tcBorders>
            <w:noWrap w:val="0"/>
            <w:vAlign w:val="center"/>
          </w:tcPr>
          <w:p w14:paraId="4E25EC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12000</w:t>
            </w:r>
          </w:p>
        </w:tc>
      </w:tr>
      <w:tr w14:paraId="2A59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2EBF69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68" w:type="dxa"/>
            <w:noWrap w:val="0"/>
            <w:vAlign w:val="center"/>
          </w:tcPr>
          <w:p w14:paraId="0B4378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音响系统</w:t>
            </w:r>
          </w:p>
        </w:tc>
        <w:tc>
          <w:tcPr>
            <w:tcW w:w="2823" w:type="dxa"/>
            <w:noWrap w:val="0"/>
            <w:vAlign w:val="center"/>
          </w:tcPr>
          <w:p w14:paraId="2F0BE8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包括：话筒、功放、音箱、卡座、媒体控制器、影碟机等</w:t>
            </w:r>
          </w:p>
        </w:tc>
        <w:tc>
          <w:tcPr>
            <w:tcW w:w="1159" w:type="dxa"/>
            <w:noWrap w:val="0"/>
            <w:vAlign w:val="center"/>
          </w:tcPr>
          <w:p w14:paraId="0221411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36" w:type="dxa"/>
            <w:tcBorders>
              <w:right w:val="single" w:color="000000" w:sz="2" w:space="0"/>
            </w:tcBorders>
            <w:noWrap w:val="0"/>
            <w:vAlign w:val="center"/>
          </w:tcPr>
          <w:p w14:paraId="216EBB5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4" w:type="dxa"/>
            <w:tcBorders>
              <w:left w:val="single" w:color="000000" w:sz="2" w:space="0"/>
            </w:tcBorders>
            <w:noWrap w:val="0"/>
            <w:vAlign w:val="center"/>
          </w:tcPr>
          <w:p w14:paraId="06E26C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28000</w:t>
            </w:r>
          </w:p>
        </w:tc>
      </w:tr>
      <w:tr w14:paraId="4B3B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gridSpan w:val="2"/>
            <w:noWrap w:val="0"/>
            <w:vAlign w:val="top"/>
          </w:tcPr>
          <w:p w14:paraId="52699F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823" w:type="dxa"/>
            <w:noWrap w:val="0"/>
            <w:vAlign w:val="top"/>
          </w:tcPr>
          <w:p w14:paraId="480037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top"/>
          </w:tcPr>
          <w:p w14:paraId="3E2FAA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36" w:type="dxa"/>
            <w:tcBorders>
              <w:right w:val="single" w:color="000000" w:sz="2" w:space="0"/>
            </w:tcBorders>
            <w:noWrap w:val="0"/>
            <w:vAlign w:val="top"/>
          </w:tcPr>
          <w:p w14:paraId="2F5FF2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214" w:type="dxa"/>
            <w:tcBorders>
              <w:left w:val="single" w:color="000000" w:sz="2" w:space="0"/>
            </w:tcBorders>
            <w:noWrap w:val="0"/>
            <w:vAlign w:val="top"/>
          </w:tcPr>
          <w:p w14:paraId="55CC92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121000</w:t>
            </w:r>
          </w:p>
        </w:tc>
      </w:tr>
    </w:tbl>
    <w:p w14:paraId="2D53E30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幼儿保育专业美术室配置情况</w:t>
      </w:r>
    </w:p>
    <w:tbl>
      <w:tblPr>
        <w:tblStyle w:val="10"/>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87"/>
        <w:gridCol w:w="2836"/>
        <w:gridCol w:w="1159"/>
        <w:gridCol w:w="750"/>
        <w:gridCol w:w="1337"/>
      </w:tblGrid>
      <w:tr w14:paraId="203C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0EDA7C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487" w:type="dxa"/>
            <w:noWrap w:val="0"/>
            <w:vAlign w:val="center"/>
          </w:tcPr>
          <w:p w14:paraId="50CE99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836" w:type="dxa"/>
            <w:noWrap w:val="0"/>
            <w:vAlign w:val="center"/>
          </w:tcPr>
          <w:p w14:paraId="5EEAD11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159" w:type="dxa"/>
            <w:noWrap w:val="0"/>
            <w:vAlign w:val="top"/>
          </w:tcPr>
          <w:p w14:paraId="247B829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50" w:type="dxa"/>
            <w:tcBorders>
              <w:right w:val="single" w:color="000000" w:sz="2" w:space="0"/>
            </w:tcBorders>
            <w:noWrap w:val="0"/>
            <w:vAlign w:val="top"/>
          </w:tcPr>
          <w:p w14:paraId="6A3C8C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337" w:type="dxa"/>
            <w:tcBorders>
              <w:left w:val="single" w:color="000000" w:sz="2" w:space="0"/>
            </w:tcBorders>
            <w:noWrap w:val="0"/>
            <w:vAlign w:val="top"/>
          </w:tcPr>
          <w:p w14:paraId="45D6B9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0F31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95F9B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487" w:type="dxa"/>
            <w:noWrap w:val="0"/>
            <w:vAlign w:val="center"/>
          </w:tcPr>
          <w:p w14:paraId="199C4F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演示台</w:t>
            </w:r>
          </w:p>
        </w:tc>
        <w:tc>
          <w:tcPr>
            <w:tcW w:w="2836" w:type="dxa"/>
            <w:noWrap w:val="0"/>
            <w:vAlign w:val="center"/>
          </w:tcPr>
          <w:p w14:paraId="4CAE238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1.6米*1米（局部可升降）</w:t>
            </w:r>
          </w:p>
        </w:tc>
        <w:tc>
          <w:tcPr>
            <w:tcW w:w="1159" w:type="dxa"/>
            <w:noWrap w:val="0"/>
            <w:vAlign w:val="center"/>
          </w:tcPr>
          <w:p w14:paraId="32E047F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张</w:t>
            </w:r>
          </w:p>
        </w:tc>
        <w:tc>
          <w:tcPr>
            <w:tcW w:w="750" w:type="dxa"/>
            <w:tcBorders>
              <w:right w:val="single" w:color="000000" w:sz="2" w:space="0"/>
            </w:tcBorders>
            <w:noWrap w:val="0"/>
            <w:vAlign w:val="center"/>
          </w:tcPr>
          <w:p w14:paraId="6AF8C0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1924BDA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1069</w:t>
            </w:r>
          </w:p>
        </w:tc>
      </w:tr>
      <w:tr w14:paraId="31A2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D4548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487" w:type="dxa"/>
            <w:noWrap w:val="0"/>
            <w:vAlign w:val="center"/>
          </w:tcPr>
          <w:p w14:paraId="20685A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教师写生画架、画板、椅</w:t>
            </w:r>
          </w:p>
        </w:tc>
        <w:tc>
          <w:tcPr>
            <w:tcW w:w="2836" w:type="dxa"/>
            <w:noWrap w:val="0"/>
            <w:vAlign w:val="center"/>
          </w:tcPr>
          <w:p w14:paraId="207A51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67CFED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606F61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50CD8DF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400</w:t>
            </w:r>
          </w:p>
        </w:tc>
      </w:tr>
      <w:tr w14:paraId="79E4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4C8C4E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487" w:type="dxa"/>
            <w:noWrap w:val="0"/>
            <w:vAlign w:val="center"/>
          </w:tcPr>
          <w:p w14:paraId="48222E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衬布</w:t>
            </w:r>
          </w:p>
        </w:tc>
        <w:tc>
          <w:tcPr>
            <w:tcW w:w="2836" w:type="dxa"/>
            <w:noWrap w:val="0"/>
            <w:vAlign w:val="center"/>
          </w:tcPr>
          <w:p w14:paraId="0BF0264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702F580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块</w:t>
            </w:r>
          </w:p>
        </w:tc>
        <w:tc>
          <w:tcPr>
            <w:tcW w:w="750" w:type="dxa"/>
            <w:tcBorders>
              <w:right w:val="single" w:color="000000" w:sz="2" w:space="0"/>
            </w:tcBorders>
            <w:noWrap w:val="0"/>
            <w:vAlign w:val="center"/>
          </w:tcPr>
          <w:p w14:paraId="646C5E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w:t>
            </w:r>
          </w:p>
        </w:tc>
        <w:tc>
          <w:tcPr>
            <w:tcW w:w="1337" w:type="dxa"/>
            <w:tcBorders>
              <w:left w:val="single" w:color="000000" w:sz="2" w:space="0"/>
            </w:tcBorders>
            <w:noWrap w:val="0"/>
            <w:vAlign w:val="center"/>
          </w:tcPr>
          <w:p w14:paraId="7FA2A9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400</w:t>
            </w:r>
          </w:p>
        </w:tc>
      </w:tr>
      <w:tr w14:paraId="7836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0F7CD55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487" w:type="dxa"/>
            <w:noWrap w:val="0"/>
            <w:vAlign w:val="center"/>
          </w:tcPr>
          <w:p w14:paraId="0A5F9E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遮光布</w:t>
            </w:r>
          </w:p>
        </w:tc>
        <w:tc>
          <w:tcPr>
            <w:tcW w:w="2836" w:type="dxa"/>
            <w:noWrap w:val="0"/>
            <w:vAlign w:val="center"/>
          </w:tcPr>
          <w:p w14:paraId="523CF6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2200mm*1900mm</w:t>
            </w:r>
          </w:p>
        </w:tc>
        <w:tc>
          <w:tcPr>
            <w:tcW w:w="1159" w:type="dxa"/>
            <w:noWrap w:val="0"/>
            <w:vAlign w:val="center"/>
          </w:tcPr>
          <w:p w14:paraId="452DD9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140E26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337" w:type="dxa"/>
            <w:tcBorders>
              <w:left w:val="single" w:color="000000" w:sz="2" w:space="0"/>
            </w:tcBorders>
            <w:noWrap w:val="0"/>
            <w:vAlign w:val="center"/>
          </w:tcPr>
          <w:p w14:paraId="37AA893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570</w:t>
            </w:r>
          </w:p>
        </w:tc>
      </w:tr>
      <w:tr w14:paraId="05B9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02554E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w:t>
            </w:r>
          </w:p>
        </w:tc>
        <w:tc>
          <w:tcPr>
            <w:tcW w:w="1487" w:type="dxa"/>
            <w:noWrap w:val="0"/>
            <w:vAlign w:val="center"/>
          </w:tcPr>
          <w:p w14:paraId="702606F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学生写生画架、画板、椅</w:t>
            </w:r>
          </w:p>
        </w:tc>
        <w:tc>
          <w:tcPr>
            <w:tcW w:w="2836" w:type="dxa"/>
            <w:noWrap w:val="0"/>
            <w:vAlign w:val="center"/>
          </w:tcPr>
          <w:p w14:paraId="613AD24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2B2A12F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5E33FA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45</w:t>
            </w:r>
          </w:p>
        </w:tc>
        <w:tc>
          <w:tcPr>
            <w:tcW w:w="1337" w:type="dxa"/>
            <w:tcBorders>
              <w:left w:val="single" w:color="000000" w:sz="2" w:space="0"/>
            </w:tcBorders>
            <w:noWrap w:val="0"/>
            <w:vAlign w:val="center"/>
          </w:tcPr>
          <w:p w14:paraId="2A27A1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13500</w:t>
            </w:r>
          </w:p>
        </w:tc>
      </w:tr>
      <w:tr w14:paraId="64F7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D00C22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487" w:type="dxa"/>
            <w:noWrap w:val="0"/>
            <w:vAlign w:val="center"/>
          </w:tcPr>
          <w:p w14:paraId="5081EE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仿真水果鲜花</w:t>
            </w:r>
          </w:p>
        </w:tc>
        <w:tc>
          <w:tcPr>
            <w:tcW w:w="2836" w:type="dxa"/>
            <w:noWrap w:val="0"/>
            <w:vAlign w:val="center"/>
          </w:tcPr>
          <w:p w14:paraId="371C9D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684619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40590D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w:t>
            </w:r>
          </w:p>
        </w:tc>
        <w:tc>
          <w:tcPr>
            <w:tcW w:w="1337" w:type="dxa"/>
            <w:tcBorders>
              <w:left w:val="single" w:color="000000" w:sz="2" w:space="0"/>
            </w:tcBorders>
            <w:noWrap w:val="0"/>
            <w:vAlign w:val="center"/>
          </w:tcPr>
          <w:p w14:paraId="54BCD5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400</w:t>
            </w:r>
          </w:p>
        </w:tc>
      </w:tr>
      <w:tr w14:paraId="4C86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7D23B7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7</w:t>
            </w:r>
          </w:p>
        </w:tc>
        <w:tc>
          <w:tcPr>
            <w:tcW w:w="1487" w:type="dxa"/>
            <w:noWrap w:val="0"/>
            <w:vAlign w:val="center"/>
          </w:tcPr>
          <w:p w14:paraId="6322F1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全身石膏像</w:t>
            </w:r>
          </w:p>
        </w:tc>
        <w:tc>
          <w:tcPr>
            <w:tcW w:w="2836" w:type="dxa"/>
            <w:noWrap w:val="0"/>
            <w:vAlign w:val="center"/>
          </w:tcPr>
          <w:p w14:paraId="0F8B08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2200mm</w:t>
            </w:r>
          </w:p>
        </w:tc>
        <w:tc>
          <w:tcPr>
            <w:tcW w:w="1159" w:type="dxa"/>
            <w:noWrap w:val="0"/>
            <w:vAlign w:val="center"/>
          </w:tcPr>
          <w:p w14:paraId="317FFA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3D69223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337" w:type="dxa"/>
            <w:tcBorders>
              <w:left w:val="single" w:color="000000" w:sz="2" w:space="0"/>
            </w:tcBorders>
            <w:noWrap w:val="0"/>
            <w:vAlign w:val="center"/>
          </w:tcPr>
          <w:p w14:paraId="2C8403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2700</w:t>
            </w:r>
          </w:p>
        </w:tc>
      </w:tr>
      <w:tr w14:paraId="5C28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0E44FA0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w:t>
            </w:r>
          </w:p>
        </w:tc>
        <w:tc>
          <w:tcPr>
            <w:tcW w:w="1487" w:type="dxa"/>
            <w:noWrap w:val="0"/>
            <w:vAlign w:val="center"/>
          </w:tcPr>
          <w:p w14:paraId="6936CD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半身石膏像</w:t>
            </w:r>
          </w:p>
        </w:tc>
        <w:tc>
          <w:tcPr>
            <w:tcW w:w="2836" w:type="dxa"/>
            <w:noWrap w:val="0"/>
            <w:vAlign w:val="center"/>
          </w:tcPr>
          <w:p w14:paraId="1C72227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1500mm</w:t>
            </w:r>
          </w:p>
        </w:tc>
        <w:tc>
          <w:tcPr>
            <w:tcW w:w="1159" w:type="dxa"/>
            <w:noWrap w:val="0"/>
            <w:vAlign w:val="center"/>
          </w:tcPr>
          <w:p w14:paraId="42067E0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21AA4A9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w:t>
            </w:r>
          </w:p>
        </w:tc>
        <w:tc>
          <w:tcPr>
            <w:tcW w:w="1337" w:type="dxa"/>
            <w:tcBorders>
              <w:left w:val="single" w:color="000000" w:sz="2" w:space="0"/>
            </w:tcBorders>
            <w:noWrap w:val="0"/>
            <w:vAlign w:val="center"/>
          </w:tcPr>
          <w:p w14:paraId="346C8D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1020</w:t>
            </w:r>
          </w:p>
        </w:tc>
      </w:tr>
      <w:tr w14:paraId="4F03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241A8B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9</w:t>
            </w:r>
          </w:p>
        </w:tc>
        <w:tc>
          <w:tcPr>
            <w:tcW w:w="1487" w:type="dxa"/>
            <w:noWrap w:val="0"/>
            <w:vAlign w:val="center"/>
          </w:tcPr>
          <w:p w14:paraId="15D696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静物台</w:t>
            </w:r>
          </w:p>
        </w:tc>
        <w:tc>
          <w:tcPr>
            <w:tcW w:w="2836" w:type="dxa"/>
            <w:noWrap w:val="0"/>
            <w:vAlign w:val="center"/>
          </w:tcPr>
          <w:p w14:paraId="103E06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1FA551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张</w:t>
            </w:r>
          </w:p>
        </w:tc>
        <w:tc>
          <w:tcPr>
            <w:tcW w:w="750" w:type="dxa"/>
            <w:tcBorders>
              <w:right w:val="single" w:color="000000" w:sz="2" w:space="0"/>
            </w:tcBorders>
            <w:noWrap w:val="0"/>
            <w:vAlign w:val="center"/>
          </w:tcPr>
          <w:p w14:paraId="7CBC77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337" w:type="dxa"/>
            <w:tcBorders>
              <w:left w:val="single" w:color="000000" w:sz="2" w:space="0"/>
            </w:tcBorders>
            <w:noWrap w:val="0"/>
            <w:vAlign w:val="center"/>
          </w:tcPr>
          <w:p w14:paraId="48EA8F9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2000</w:t>
            </w:r>
          </w:p>
        </w:tc>
      </w:tr>
      <w:tr w14:paraId="41DB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7B8111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w:t>
            </w:r>
          </w:p>
        </w:tc>
        <w:tc>
          <w:tcPr>
            <w:tcW w:w="1487" w:type="dxa"/>
            <w:noWrap w:val="0"/>
            <w:vAlign w:val="center"/>
          </w:tcPr>
          <w:p w14:paraId="62CCF9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静物灯</w:t>
            </w:r>
          </w:p>
        </w:tc>
        <w:tc>
          <w:tcPr>
            <w:tcW w:w="2836" w:type="dxa"/>
            <w:noWrap w:val="0"/>
            <w:vAlign w:val="center"/>
          </w:tcPr>
          <w:p w14:paraId="5ED6158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5C3F43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3200839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337" w:type="dxa"/>
            <w:tcBorders>
              <w:left w:val="single" w:color="000000" w:sz="2" w:space="0"/>
            </w:tcBorders>
            <w:noWrap w:val="0"/>
            <w:vAlign w:val="center"/>
          </w:tcPr>
          <w:p w14:paraId="37F665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1200</w:t>
            </w:r>
          </w:p>
        </w:tc>
      </w:tr>
      <w:tr w14:paraId="6341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74F200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11</w:t>
            </w:r>
          </w:p>
        </w:tc>
        <w:tc>
          <w:tcPr>
            <w:tcW w:w="1487" w:type="dxa"/>
            <w:noWrap w:val="0"/>
            <w:vAlign w:val="center"/>
          </w:tcPr>
          <w:p w14:paraId="4123C4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美工工具和材料</w:t>
            </w:r>
          </w:p>
        </w:tc>
        <w:tc>
          <w:tcPr>
            <w:tcW w:w="2836" w:type="dxa"/>
            <w:noWrap w:val="0"/>
            <w:vAlign w:val="center"/>
          </w:tcPr>
          <w:p w14:paraId="699A6A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剪刀、胶水、各种材质的纸张</w:t>
            </w:r>
          </w:p>
        </w:tc>
        <w:tc>
          <w:tcPr>
            <w:tcW w:w="1159" w:type="dxa"/>
            <w:noWrap w:val="0"/>
            <w:vAlign w:val="center"/>
          </w:tcPr>
          <w:p w14:paraId="140A161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批</w:t>
            </w:r>
          </w:p>
        </w:tc>
        <w:tc>
          <w:tcPr>
            <w:tcW w:w="750" w:type="dxa"/>
            <w:tcBorders>
              <w:right w:val="single" w:color="000000" w:sz="2" w:space="0"/>
            </w:tcBorders>
            <w:noWrap w:val="0"/>
            <w:vAlign w:val="center"/>
          </w:tcPr>
          <w:p w14:paraId="6ACFB6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3A1BD1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1500</w:t>
            </w:r>
          </w:p>
        </w:tc>
      </w:tr>
      <w:tr w14:paraId="05C9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34B45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w:t>
            </w:r>
          </w:p>
        </w:tc>
        <w:tc>
          <w:tcPr>
            <w:tcW w:w="1487" w:type="dxa"/>
            <w:noWrap w:val="0"/>
            <w:vAlign w:val="center"/>
          </w:tcPr>
          <w:p w14:paraId="675362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LED射灯</w:t>
            </w:r>
          </w:p>
        </w:tc>
        <w:tc>
          <w:tcPr>
            <w:tcW w:w="2836" w:type="dxa"/>
            <w:noWrap w:val="0"/>
            <w:vAlign w:val="center"/>
          </w:tcPr>
          <w:p w14:paraId="186602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企一</w:t>
            </w:r>
          </w:p>
        </w:tc>
        <w:tc>
          <w:tcPr>
            <w:tcW w:w="1159" w:type="dxa"/>
            <w:noWrap w:val="0"/>
            <w:vAlign w:val="center"/>
          </w:tcPr>
          <w:p w14:paraId="631E7E2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079DC5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337" w:type="dxa"/>
            <w:tcBorders>
              <w:left w:val="single" w:color="000000" w:sz="2" w:space="0"/>
            </w:tcBorders>
            <w:noWrap w:val="0"/>
            <w:vAlign w:val="center"/>
          </w:tcPr>
          <w:p w14:paraId="7E069F5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600</w:t>
            </w:r>
          </w:p>
        </w:tc>
      </w:tr>
      <w:tr w14:paraId="10AD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48DB36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13</w:t>
            </w:r>
          </w:p>
        </w:tc>
        <w:tc>
          <w:tcPr>
            <w:tcW w:w="1487" w:type="dxa"/>
            <w:noWrap w:val="0"/>
            <w:vAlign w:val="center"/>
          </w:tcPr>
          <w:p w14:paraId="73D5C4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储物柜（教具柜）</w:t>
            </w:r>
          </w:p>
        </w:tc>
        <w:tc>
          <w:tcPr>
            <w:tcW w:w="2836" w:type="dxa"/>
            <w:noWrap w:val="0"/>
            <w:vAlign w:val="center"/>
          </w:tcPr>
          <w:p w14:paraId="308FF76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3000mm*1200mm</w:t>
            </w:r>
          </w:p>
        </w:tc>
        <w:tc>
          <w:tcPr>
            <w:tcW w:w="1159" w:type="dxa"/>
            <w:noWrap w:val="0"/>
            <w:vAlign w:val="center"/>
          </w:tcPr>
          <w:p w14:paraId="25F0F9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7C282B4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337" w:type="dxa"/>
            <w:tcBorders>
              <w:left w:val="single" w:color="000000" w:sz="2" w:space="0"/>
            </w:tcBorders>
            <w:noWrap w:val="0"/>
            <w:vAlign w:val="center"/>
          </w:tcPr>
          <w:p w14:paraId="1147262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10500</w:t>
            </w:r>
          </w:p>
        </w:tc>
      </w:tr>
      <w:tr w14:paraId="0746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35A564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14</w:t>
            </w:r>
          </w:p>
        </w:tc>
        <w:tc>
          <w:tcPr>
            <w:tcW w:w="1487" w:type="dxa"/>
            <w:noWrap w:val="0"/>
            <w:vAlign w:val="center"/>
          </w:tcPr>
          <w:p w14:paraId="722EE3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学生作品展示柜</w:t>
            </w:r>
          </w:p>
        </w:tc>
        <w:tc>
          <w:tcPr>
            <w:tcW w:w="2836" w:type="dxa"/>
            <w:noWrap w:val="0"/>
            <w:vAlign w:val="center"/>
          </w:tcPr>
          <w:p w14:paraId="28A4BF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6000mm*3500mm</w:t>
            </w:r>
          </w:p>
        </w:tc>
        <w:tc>
          <w:tcPr>
            <w:tcW w:w="1159" w:type="dxa"/>
            <w:noWrap w:val="0"/>
            <w:vAlign w:val="center"/>
          </w:tcPr>
          <w:p w14:paraId="7DEB9B8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705142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1F4580B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18900</w:t>
            </w:r>
          </w:p>
        </w:tc>
      </w:tr>
      <w:tr w14:paraId="0915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5B71C6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15</w:t>
            </w:r>
          </w:p>
        </w:tc>
        <w:tc>
          <w:tcPr>
            <w:tcW w:w="1487" w:type="dxa"/>
            <w:noWrap w:val="0"/>
            <w:vAlign w:val="center"/>
          </w:tcPr>
          <w:p w14:paraId="630DB36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836" w:type="dxa"/>
            <w:noWrap w:val="0"/>
            <w:vAlign w:val="center"/>
          </w:tcPr>
          <w:p w14:paraId="3340F8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3591E00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7EA039D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48525AB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50000</w:t>
            </w:r>
          </w:p>
        </w:tc>
      </w:tr>
      <w:tr w14:paraId="6835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noWrap w:val="0"/>
            <w:vAlign w:val="top"/>
          </w:tcPr>
          <w:p w14:paraId="472C4E3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836" w:type="dxa"/>
            <w:noWrap w:val="0"/>
            <w:vAlign w:val="top"/>
          </w:tcPr>
          <w:p w14:paraId="493978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top"/>
          </w:tcPr>
          <w:p w14:paraId="2196E5A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50" w:type="dxa"/>
            <w:tcBorders>
              <w:right w:val="single" w:color="000000" w:sz="2" w:space="0"/>
            </w:tcBorders>
            <w:noWrap w:val="0"/>
            <w:vAlign w:val="top"/>
          </w:tcPr>
          <w:p w14:paraId="439E243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337" w:type="dxa"/>
            <w:tcBorders>
              <w:left w:val="single" w:color="000000" w:sz="2" w:space="0"/>
            </w:tcBorders>
            <w:noWrap w:val="0"/>
            <w:vAlign w:val="top"/>
          </w:tcPr>
          <w:p w14:paraId="16592EA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203500</w:t>
            </w:r>
          </w:p>
        </w:tc>
      </w:tr>
    </w:tbl>
    <w:p w14:paraId="1919FB6E">
      <w:pPr>
        <w:spacing w:line="520" w:lineRule="exact"/>
        <w:rPr>
          <w:rFonts w:hint="eastAsia" w:ascii="仿宋" w:hAnsi="仿宋" w:eastAsia="仿宋" w:cs="仿宋"/>
          <w:sz w:val="28"/>
          <w:szCs w:val="28"/>
        </w:rPr>
      </w:pPr>
    </w:p>
    <w:tbl>
      <w:tblPr>
        <w:tblStyle w:val="10"/>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810"/>
        <w:gridCol w:w="1416"/>
        <w:gridCol w:w="1504"/>
        <w:gridCol w:w="1240"/>
        <w:gridCol w:w="892"/>
      </w:tblGrid>
      <w:tr w14:paraId="028A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80" w:type="dxa"/>
            <w:gridSpan w:val="6"/>
            <w:tcBorders>
              <w:top w:val="nil"/>
              <w:left w:val="nil"/>
              <w:bottom w:val="nil"/>
              <w:right w:val="nil"/>
            </w:tcBorders>
            <w:noWrap/>
            <w:vAlign w:val="center"/>
          </w:tcPr>
          <w:p w14:paraId="6CD45A86">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方正仿宋_GB2312" w:hAnsi="方正仿宋_GB2312" w:eastAsia="方正仿宋_GB2312" w:cs="方正仿宋_GB2312"/>
                <w:sz w:val="32"/>
                <w:szCs w:val="32"/>
                <w:lang w:val="en-US" w:eastAsia="zh-CN"/>
                <w14:ligatures w14:val="none"/>
              </w:rPr>
              <w:t>护理实训室设备器材清单</w:t>
            </w:r>
          </w:p>
        </w:tc>
      </w:tr>
      <w:tr w14:paraId="1BFDA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2B3F75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名称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D2B54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数量</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A51A72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单价（元）</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04E32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 金额（元）</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09E429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购置日期</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2C6CEF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备注</w:t>
            </w:r>
          </w:p>
        </w:tc>
      </w:tr>
      <w:tr w14:paraId="42CF4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EF2F5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药品箱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4290E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F1392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880D8A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19270F8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2560B0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639D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9A57D5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储物柜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5DFF3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54F5BF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22B3B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400</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2B804D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2B1A2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C47B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9B12D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办公椅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F6C18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12EAFC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CA2FD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308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D175D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7FCC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0A8DE9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办公桌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2838E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8AB49D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48D7A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CA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A636F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7D0A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2FA9F3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空调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0CEAC6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E7DB5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FC193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6000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0B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EB8F2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635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80372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治疗车</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8B81CD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59539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0B56367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A8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B6306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60C2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36B9C9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诊疗床</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0E2998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14CDF3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C68EB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E23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A408B6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0D392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10E89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被褥四套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E67D5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0FFA3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251FD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BB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AA709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66A8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41E74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橡胶中单</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3D126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79547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0143AF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85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DA9C9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01917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D5076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轮椅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592C5C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EC68C7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58A058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715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F384B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55D9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3253B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紫外线消毒灯</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2CE0E0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34D5B6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9B668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E5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B197F0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6398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5E0E3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额温枪</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F5BAC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F0DE9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22952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240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79B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050A01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1E253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331882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84消毒液</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09B3F77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E22BFA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14FC0C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71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228D3B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BB50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B445C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医用酒精</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49801C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30瓶</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72F15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61046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D52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A3B761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1235E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A87035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水银柱血压计</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30436E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4BCA6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355720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700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E90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C1D80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2A26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B5AA6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听诊器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493847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2AD15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90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1057F7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59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88F5C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5770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EE7DAE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治疗盘大</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C3A58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A474B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5B6346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2D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B1A1F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B2A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A30DB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治疗盘小</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FE51F1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05BEF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7CB51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A77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2836E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5AE9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79C925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治疗罐</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E96C1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157EB1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6F1E2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68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6AEAA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5000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F7B50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EC384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52D71B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DA413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326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69C5A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0E7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379067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纱布块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546F19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79E77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95C839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90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8613D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1F1E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620F19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镊子</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D6374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F50515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5854B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1F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76608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B35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2588F5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棉签</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775105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65861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057DA54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35B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6FDD35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6B80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F02C9B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灌肠包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BE2E08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5509F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4F8150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ED6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E23DF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AABA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C723D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隔离衣</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DF685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F5CB3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DFF0C4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7E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3E0A61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ADF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2EF864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双面洗手刷</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8E5D1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5FE96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EF00F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821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8FBB7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027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6DAE2F5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一次性使用胃管</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29D037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74C21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160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057F13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4800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8B8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A9E6D0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B16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48E9C5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一次性使用导尿包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F3E0A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58811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A7E103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2400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83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3F3694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AA89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9729C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一次性使用灌肠包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C25FF3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F3626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DA668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6FF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96588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6C7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BFC12E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一次性注射器1毫升</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2C633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1盒子</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6AEBC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41E88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18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8B477C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F08A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604243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一次性注射器5毫升</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49509D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1盒子</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603640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56F31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54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2C569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1B868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8C249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一次性注射器10毫升</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7C2234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1盒子</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EDF5BF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7A543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61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8E255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062BF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ADEFC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酒精灯</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25FA3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13354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6BAC4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F3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AB444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920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3C566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棉签</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E57201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1袋</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F157F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A4717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68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64069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BE02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FD899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盐水清洁液</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58E64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9瓶</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3BE5C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23DA9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4BB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84183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35BE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6CF90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一次性橡胶手套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0F9F34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2袋</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3194A3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67EB41B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2F9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32F99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6FB3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803C7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静脉穿刺模具手</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23D5F8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B8F5C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BDCEB3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EF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8D36FD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860A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4E423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人体骨骼架</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98C126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C7D14E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9D8A9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48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8F9C2C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bl>
    <w:p w14:paraId="36811AD7">
      <w:pPr>
        <w:keepNext w:val="0"/>
        <w:keepLines w:val="0"/>
        <w:pageBreakBefore w:val="0"/>
        <w:widowControl/>
        <w:suppressLineNumbers w:val="0"/>
        <w:kinsoku/>
        <w:wordWrap/>
        <w:overflowPunct/>
        <w:topLinePunct w:val="0"/>
        <w:autoSpaceDE/>
        <w:autoSpaceDN/>
        <w:bidi w:val="0"/>
        <w:adjustRightInd/>
        <w:snapToGrid/>
        <w:spacing w:line="570" w:lineRule="exact"/>
        <w:ind w:left="0" w:leftChars="0" w:firstLine="0" w:firstLineChars="0"/>
        <w:jc w:val="center"/>
        <w:textAlignment w:val="center"/>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绘画专业美术室配置情况</w:t>
      </w:r>
    </w:p>
    <w:tbl>
      <w:tblPr>
        <w:tblStyle w:val="10"/>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79"/>
        <w:gridCol w:w="3028"/>
        <w:gridCol w:w="1009"/>
        <w:gridCol w:w="763"/>
        <w:gridCol w:w="1078"/>
      </w:tblGrid>
      <w:tr w14:paraId="68E2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61501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序号</w:t>
            </w:r>
          </w:p>
        </w:tc>
        <w:tc>
          <w:tcPr>
            <w:tcW w:w="1779" w:type="dxa"/>
            <w:noWrap w:val="0"/>
            <w:vAlign w:val="top"/>
          </w:tcPr>
          <w:p w14:paraId="01253D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设备名称</w:t>
            </w:r>
          </w:p>
        </w:tc>
        <w:tc>
          <w:tcPr>
            <w:tcW w:w="3028" w:type="dxa"/>
            <w:noWrap w:val="0"/>
            <w:vAlign w:val="top"/>
          </w:tcPr>
          <w:p w14:paraId="1619D2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规格与要求</w:t>
            </w:r>
          </w:p>
        </w:tc>
        <w:tc>
          <w:tcPr>
            <w:tcW w:w="1009" w:type="dxa"/>
            <w:noWrap w:val="0"/>
            <w:vAlign w:val="top"/>
          </w:tcPr>
          <w:p w14:paraId="10C5CD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单位</w:t>
            </w:r>
          </w:p>
        </w:tc>
        <w:tc>
          <w:tcPr>
            <w:tcW w:w="763" w:type="dxa"/>
            <w:tcBorders>
              <w:right w:val="single" w:color="000000" w:sz="2" w:space="0"/>
            </w:tcBorders>
            <w:noWrap w:val="0"/>
            <w:vAlign w:val="top"/>
          </w:tcPr>
          <w:p w14:paraId="42985CD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数量</w:t>
            </w:r>
          </w:p>
        </w:tc>
        <w:tc>
          <w:tcPr>
            <w:tcW w:w="1078" w:type="dxa"/>
            <w:tcBorders>
              <w:left w:val="single" w:color="000000" w:sz="2" w:space="0"/>
            </w:tcBorders>
            <w:noWrap w:val="0"/>
            <w:vAlign w:val="top"/>
          </w:tcPr>
          <w:p w14:paraId="03EBF2A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价值</w:t>
            </w:r>
          </w:p>
        </w:tc>
      </w:tr>
      <w:tr w14:paraId="2F3D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6A4E4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779" w:type="dxa"/>
            <w:noWrap w:val="0"/>
            <w:vAlign w:val="center"/>
          </w:tcPr>
          <w:p w14:paraId="3FC882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演示台</w:t>
            </w:r>
          </w:p>
        </w:tc>
        <w:tc>
          <w:tcPr>
            <w:tcW w:w="3028" w:type="dxa"/>
            <w:noWrap w:val="0"/>
            <w:vAlign w:val="center"/>
          </w:tcPr>
          <w:p w14:paraId="539B26B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1.6米*1米（局部可升降）</w:t>
            </w:r>
          </w:p>
        </w:tc>
        <w:tc>
          <w:tcPr>
            <w:tcW w:w="1009" w:type="dxa"/>
            <w:noWrap w:val="0"/>
            <w:vAlign w:val="center"/>
          </w:tcPr>
          <w:p w14:paraId="26E3647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张</w:t>
            </w:r>
          </w:p>
        </w:tc>
        <w:tc>
          <w:tcPr>
            <w:tcW w:w="763" w:type="dxa"/>
            <w:tcBorders>
              <w:right w:val="single" w:color="000000" w:sz="2" w:space="0"/>
            </w:tcBorders>
            <w:noWrap w:val="0"/>
            <w:vAlign w:val="center"/>
          </w:tcPr>
          <w:p w14:paraId="24BE08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65A402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1069</w:t>
            </w:r>
          </w:p>
        </w:tc>
      </w:tr>
      <w:tr w14:paraId="434B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5EF857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779" w:type="dxa"/>
            <w:noWrap w:val="0"/>
            <w:vAlign w:val="center"/>
          </w:tcPr>
          <w:p w14:paraId="139BF4E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教师写生画架、画板、椅</w:t>
            </w:r>
          </w:p>
        </w:tc>
        <w:tc>
          <w:tcPr>
            <w:tcW w:w="3028" w:type="dxa"/>
            <w:noWrap w:val="0"/>
            <w:vAlign w:val="center"/>
          </w:tcPr>
          <w:p w14:paraId="50877B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1480AD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0FCE6CA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167352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400</w:t>
            </w:r>
          </w:p>
        </w:tc>
      </w:tr>
      <w:tr w14:paraId="022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71219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w:t>
            </w:r>
          </w:p>
        </w:tc>
        <w:tc>
          <w:tcPr>
            <w:tcW w:w="1779" w:type="dxa"/>
            <w:noWrap w:val="0"/>
            <w:vAlign w:val="center"/>
          </w:tcPr>
          <w:p w14:paraId="2B9F2F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衬布</w:t>
            </w:r>
          </w:p>
        </w:tc>
        <w:tc>
          <w:tcPr>
            <w:tcW w:w="3028" w:type="dxa"/>
            <w:noWrap w:val="0"/>
            <w:vAlign w:val="center"/>
          </w:tcPr>
          <w:p w14:paraId="4B84AA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1FA6EA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块</w:t>
            </w:r>
          </w:p>
        </w:tc>
        <w:tc>
          <w:tcPr>
            <w:tcW w:w="763" w:type="dxa"/>
            <w:tcBorders>
              <w:right w:val="single" w:color="000000" w:sz="2" w:space="0"/>
            </w:tcBorders>
            <w:noWrap w:val="0"/>
            <w:vAlign w:val="center"/>
          </w:tcPr>
          <w:p w14:paraId="201B656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8</w:t>
            </w:r>
          </w:p>
        </w:tc>
        <w:tc>
          <w:tcPr>
            <w:tcW w:w="1078" w:type="dxa"/>
            <w:tcBorders>
              <w:left w:val="single" w:color="000000" w:sz="2" w:space="0"/>
            </w:tcBorders>
            <w:noWrap w:val="0"/>
            <w:vAlign w:val="center"/>
          </w:tcPr>
          <w:p w14:paraId="01410F5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400</w:t>
            </w:r>
          </w:p>
        </w:tc>
      </w:tr>
      <w:tr w14:paraId="15F7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2AE281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779" w:type="dxa"/>
            <w:noWrap w:val="0"/>
            <w:vAlign w:val="center"/>
          </w:tcPr>
          <w:p w14:paraId="52E2946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遮光布</w:t>
            </w:r>
          </w:p>
        </w:tc>
        <w:tc>
          <w:tcPr>
            <w:tcW w:w="3028" w:type="dxa"/>
            <w:noWrap w:val="0"/>
            <w:vAlign w:val="center"/>
          </w:tcPr>
          <w:p w14:paraId="64B5B9C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2200mm*1900mm</w:t>
            </w:r>
          </w:p>
        </w:tc>
        <w:tc>
          <w:tcPr>
            <w:tcW w:w="1009" w:type="dxa"/>
            <w:noWrap w:val="0"/>
            <w:vAlign w:val="center"/>
          </w:tcPr>
          <w:p w14:paraId="0DADF36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3222B5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078" w:type="dxa"/>
            <w:tcBorders>
              <w:left w:val="single" w:color="000000" w:sz="2" w:space="0"/>
            </w:tcBorders>
            <w:noWrap w:val="0"/>
            <w:vAlign w:val="center"/>
          </w:tcPr>
          <w:p w14:paraId="5FB065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570</w:t>
            </w:r>
          </w:p>
        </w:tc>
      </w:tr>
      <w:tr w14:paraId="7C9E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91B10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5</w:t>
            </w:r>
          </w:p>
        </w:tc>
        <w:tc>
          <w:tcPr>
            <w:tcW w:w="1779" w:type="dxa"/>
            <w:noWrap w:val="0"/>
            <w:vAlign w:val="center"/>
          </w:tcPr>
          <w:p w14:paraId="1F2BC54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学生写生画架、画板、椅</w:t>
            </w:r>
          </w:p>
        </w:tc>
        <w:tc>
          <w:tcPr>
            <w:tcW w:w="3028" w:type="dxa"/>
            <w:noWrap w:val="0"/>
            <w:vAlign w:val="center"/>
          </w:tcPr>
          <w:p w14:paraId="09760A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2B1F78D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43C631D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45</w:t>
            </w:r>
          </w:p>
        </w:tc>
        <w:tc>
          <w:tcPr>
            <w:tcW w:w="1078" w:type="dxa"/>
            <w:tcBorders>
              <w:left w:val="single" w:color="000000" w:sz="2" w:space="0"/>
            </w:tcBorders>
            <w:noWrap w:val="0"/>
            <w:vAlign w:val="center"/>
          </w:tcPr>
          <w:p w14:paraId="73DB71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13500</w:t>
            </w:r>
          </w:p>
        </w:tc>
      </w:tr>
      <w:tr w14:paraId="53DF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4331F4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6</w:t>
            </w:r>
          </w:p>
        </w:tc>
        <w:tc>
          <w:tcPr>
            <w:tcW w:w="1779" w:type="dxa"/>
            <w:noWrap w:val="0"/>
            <w:vAlign w:val="center"/>
          </w:tcPr>
          <w:p w14:paraId="08BC5A8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仿真水果鲜花</w:t>
            </w:r>
          </w:p>
        </w:tc>
        <w:tc>
          <w:tcPr>
            <w:tcW w:w="3028" w:type="dxa"/>
            <w:noWrap w:val="0"/>
            <w:vAlign w:val="center"/>
          </w:tcPr>
          <w:p w14:paraId="37A4D1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0DBE41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33096A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078" w:type="dxa"/>
            <w:tcBorders>
              <w:left w:val="single" w:color="000000" w:sz="2" w:space="0"/>
            </w:tcBorders>
            <w:noWrap w:val="0"/>
            <w:vAlign w:val="center"/>
          </w:tcPr>
          <w:p w14:paraId="736F9E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400</w:t>
            </w:r>
          </w:p>
        </w:tc>
      </w:tr>
      <w:tr w14:paraId="6B0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D5F0D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7</w:t>
            </w:r>
          </w:p>
        </w:tc>
        <w:tc>
          <w:tcPr>
            <w:tcW w:w="1779" w:type="dxa"/>
            <w:noWrap w:val="0"/>
            <w:vAlign w:val="center"/>
          </w:tcPr>
          <w:p w14:paraId="3D6C36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全身石膏像</w:t>
            </w:r>
          </w:p>
        </w:tc>
        <w:tc>
          <w:tcPr>
            <w:tcW w:w="3028" w:type="dxa"/>
            <w:noWrap w:val="0"/>
            <w:vAlign w:val="center"/>
          </w:tcPr>
          <w:p w14:paraId="6617243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2200mm</w:t>
            </w:r>
          </w:p>
        </w:tc>
        <w:tc>
          <w:tcPr>
            <w:tcW w:w="1009" w:type="dxa"/>
            <w:noWrap w:val="0"/>
            <w:vAlign w:val="center"/>
          </w:tcPr>
          <w:p w14:paraId="39D605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7F0E98D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078" w:type="dxa"/>
            <w:tcBorders>
              <w:left w:val="single" w:color="000000" w:sz="2" w:space="0"/>
            </w:tcBorders>
            <w:noWrap w:val="0"/>
            <w:vAlign w:val="center"/>
          </w:tcPr>
          <w:p w14:paraId="2EA858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2700</w:t>
            </w:r>
          </w:p>
        </w:tc>
      </w:tr>
      <w:tr w14:paraId="3617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3A9306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8</w:t>
            </w:r>
          </w:p>
        </w:tc>
        <w:tc>
          <w:tcPr>
            <w:tcW w:w="1779" w:type="dxa"/>
            <w:noWrap w:val="0"/>
            <w:vAlign w:val="center"/>
          </w:tcPr>
          <w:p w14:paraId="00913C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半身石膏像</w:t>
            </w:r>
          </w:p>
        </w:tc>
        <w:tc>
          <w:tcPr>
            <w:tcW w:w="3028" w:type="dxa"/>
            <w:noWrap w:val="0"/>
            <w:vAlign w:val="center"/>
          </w:tcPr>
          <w:p w14:paraId="7D4F7E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1500mm</w:t>
            </w:r>
          </w:p>
        </w:tc>
        <w:tc>
          <w:tcPr>
            <w:tcW w:w="1009" w:type="dxa"/>
            <w:noWrap w:val="0"/>
            <w:vAlign w:val="center"/>
          </w:tcPr>
          <w:p w14:paraId="37A96D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53FD4D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078" w:type="dxa"/>
            <w:tcBorders>
              <w:left w:val="single" w:color="000000" w:sz="2" w:space="0"/>
            </w:tcBorders>
            <w:noWrap w:val="0"/>
            <w:vAlign w:val="center"/>
          </w:tcPr>
          <w:p w14:paraId="65FF129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1020</w:t>
            </w:r>
          </w:p>
        </w:tc>
      </w:tr>
      <w:tr w14:paraId="334B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174FCE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9</w:t>
            </w:r>
          </w:p>
        </w:tc>
        <w:tc>
          <w:tcPr>
            <w:tcW w:w="1779" w:type="dxa"/>
            <w:noWrap w:val="0"/>
            <w:vAlign w:val="center"/>
          </w:tcPr>
          <w:p w14:paraId="447005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静物台</w:t>
            </w:r>
          </w:p>
        </w:tc>
        <w:tc>
          <w:tcPr>
            <w:tcW w:w="3028" w:type="dxa"/>
            <w:noWrap w:val="0"/>
            <w:vAlign w:val="center"/>
          </w:tcPr>
          <w:p w14:paraId="54F2583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17CACF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张</w:t>
            </w:r>
          </w:p>
        </w:tc>
        <w:tc>
          <w:tcPr>
            <w:tcW w:w="763" w:type="dxa"/>
            <w:tcBorders>
              <w:right w:val="single" w:color="000000" w:sz="2" w:space="0"/>
            </w:tcBorders>
            <w:noWrap w:val="0"/>
            <w:vAlign w:val="center"/>
          </w:tcPr>
          <w:p w14:paraId="5F61F6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078" w:type="dxa"/>
            <w:tcBorders>
              <w:left w:val="single" w:color="000000" w:sz="2" w:space="0"/>
            </w:tcBorders>
            <w:noWrap w:val="0"/>
            <w:vAlign w:val="center"/>
          </w:tcPr>
          <w:p w14:paraId="6B34089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2000</w:t>
            </w:r>
          </w:p>
        </w:tc>
      </w:tr>
      <w:tr w14:paraId="7B5E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6799D3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779" w:type="dxa"/>
            <w:noWrap w:val="0"/>
            <w:vAlign w:val="center"/>
          </w:tcPr>
          <w:p w14:paraId="775BDD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静物灯</w:t>
            </w:r>
          </w:p>
        </w:tc>
        <w:tc>
          <w:tcPr>
            <w:tcW w:w="3028" w:type="dxa"/>
            <w:noWrap w:val="0"/>
            <w:vAlign w:val="center"/>
          </w:tcPr>
          <w:p w14:paraId="32964F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648AF2D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7D941A7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078" w:type="dxa"/>
            <w:tcBorders>
              <w:left w:val="single" w:color="000000" w:sz="2" w:space="0"/>
            </w:tcBorders>
            <w:noWrap w:val="0"/>
            <w:vAlign w:val="center"/>
          </w:tcPr>
          <w:p w14:paraId="263DE0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1200</w:t>
            </w:r>
          </w:p>
        </w:tc>
      </w:tr>
      <w:tr w14:paraId="59FA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67915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11</w:t>
            </w:r>
          </w:p>
        </w:tc>
        <w:tc>
          <w:tcPr>
            <w:tcW w:w="1779" w:type="dxa"/>
            <w:noWrap w:val="0"/>
            <w:vAlign w:val="center"/>
          </w:tcPr>
          <w:p w14:paraId="490FFD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美工工具和材料</w:t>
            </w:r>
          </w:p>
        </w:tc>
        <w:tc>
          <w:tcPr>
            <w:tcW w:w="3028" w:type="dxa"/>
            <w:noWrap w:val="0"/>
            <w:vAlign w:val="center"/>
          </w:tcPr>
          <w:p w14:paraId="364D70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剪刀、胶水、各种材质的纸张</w:t>
            </w:r>
          </w:p>
        </w:tc>
        <w:tc>
          <w:tcPr>
            <w:tcW w:w="1009" w:type="dxa"/>
            <w:noWrap w:val="0"/>
            <w:vAlign w:val="center"/>
          </w:tcPr>
          <w:p w14:paraId="4326F0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批</w:t>
            </w:r>
          </w:p>
        </w:tc>
        <w:tc>
          <w:tcPr>
            <w:tcW w:w="763" w:type="dxa"/>
            <w:tcBorders>
              <w:right w:val="single" w:color="000000" w:sz="2" w:space="0"/>
            </w:tcBorders>
            <w:noWrap w:val="0"/>
            <w:vAlign w:val="center"/>
          </w:tcPr>
          <w:p w14:paraId="2161B8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486CE9F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1500</w:t>
            </w:r>
          </w:p>
        </w:tc>
      </w:tr>
      <w:tr w14:paraId="2EE3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34D16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12</w:t>
            </w:r>
          </w:p>
        </w:tc>
        <w:tc>
          <w:tcPr>
            <w:tcW w:w="1779" w:type="dxa"/>
            <w:noWrap w:val="0"/>
            <w:vAlign w:val="center"/>
          </w:tcPr>
          <w:p w14:paraId="6811F3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LED射灯</w:t>
            </w:r>
          </w:p>
        </w:tc>
        <w:tc>
          <w:tcPr>
            <w:tcW w:w="3028" w:type="dxa"/>
            <w:noWrap w:val="0"/>
            <w:vAlign w:val="center"/>
          </w:tcPr>
          <w:p w14:paraId="176D7D1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企一</w:t>
            </w:r>
          </w:p>
        </w:tc>
        <w:tc>
          <w:tcPr>
            <w:tcW w:w="1009" w:type="dxa"/>
            <w:noWrap w:val="0"/>
            <w:vAlign w:val="center"/>
          </w:tcPr>
          <w:p w14:paraId="288158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2BD5E7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078" w:type="dxa"/>
            <w:tcBorders>
              <w:left w:val="single" w:color="000000" w:sz="2" w:space="0"/>
            </w:tcBorders>
            <w:noWrap w:val="0"/>
            <w:vAlign w:val="center"/>
          </w:tcPr>
          <w:p w14:paraId="6CC76C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600</w:t>
            </w:r>
          </w:p>
        </w:tc>
      </w:tr>
      <w:tr w14:paraId="6598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582A6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13</w:t>
            </w:r>
          </w:p>
        </w:tc>
        <w:tc>
          <w:tcPr>
            <w:tcW w:w="1779" w:type="dxa"/>
            <w:noWrap w:val="0"/>
            <w:vAlign w:val="center"/>
          </w:tcPr>
          <w:p w14:paraId="5E761C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储物柜（教具柜）</w:t>
            </w:r>
          </w:p>
        </w:tc>
        <w:tc>
          <w:tcPr>
            <w:tcW w:w="3028" w:type="dxa"/>
            <w:noWrap w:val="0"/>
            <w:vAlign w:val="center"/>
          </w:tcPr>
          <w:p w14:paraId="14DEFC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3000mm*1200mm</w:t>
            </w:r>
          </w:p>
        </w:tc>
        <w:tc>
          <w:tcPr>
            <w:tcW w:w="1009" w:type="dxa"/>
            <w:noWrap w:val="0"/>
            <w:vAlign w:val="center"/>
          </w:tcPr>
          <w:p w14:paraId="1098973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0C4E3A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w:t>
            </w:r>
          </w:p>
        </w:tc>
        <w:tc>
          <w:tcPr>
            <w:tcW w:w="1078" w:type="dxa"/>
            <w:tcBorders>
              <w:left w:val="single" w:color="000000" w:sz="2" w:space="0"/>
            </w:tcBorders>
            <w:noWrap w:val="0"/>
            <w:vAlign w:val="center"/>
          </w:tcPr>
          <w:p w14:paraId="2947B14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10500</w:t>
            </w:r>
          </w:p>
        </w:tc>
      </w:tr>
      <w:tr w14:paraId="38C4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1CF99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14</w:t>
            </w:r>
          </w:p>
        </w:tc>
        <w:tc>
          <w:tcPr>
            <w:tcW w:w="1779" w:type="dxa"/>
            <w:noWrap w:val="0"/>
            <w:vAlign w:val="center"/>
          </w:tcPr>
          <w:p w14:paraId="6283DB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学生作品展示柜</w:t>
            </w:r>
          </w:p>
        </w:tc>
        <w:tc>
          <w:tcPr>
            <w:tcW w:w="3028" w:type="dxa"/>
            <w:noWrap w:val="0"/>
            <w:vAlign w:val="center"/>
          </w:tcPr>
          <w:p w14:paraId="25FBB11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6000mm*3500mm</w:t>
            </w:r>
          </w:p>
        </w:tc>
        <w:tc>
          <w:tcPr>
            <w:tcW w:w="1009" w:type="dxa"/>
            <w:noWrap w:val="0"/>
            <w:vAlign w:val="center"/>
          </w:tcPr>
          <w:p w14:paraId="74F120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141FA5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466A57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18900</w:t>
            </w:r>
          </w:p>
        </w:tc>
      </w:tr>
      <w:tr w14:paraId="1C4B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105CF6E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15</w:t>
            </w:r>
          </w:p>
        </w:tc>
        <w:tc>
          <w:tcPr>
            <w:tcW w:w="1779" w:type="dxa"/>
            <w:noWrap w:val="0"/>
            <w:vAlign w:val="center"/>
          </w:tcPr>
          <w:p w14:paraId="55562D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多媒体教学系统</w:t>
            </w:r>
          </w:p>
        </w:tc>
        <w:tc>
          <w:tcPr>
            <w:tcW w:w="3028" w:type="dxa"/>
            <w:noWrap w:val="0"/>
            <w:vAlign w:val="center"/>
          </w:tcPr>
          <w:p w14:paraId="59687E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3525F5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01B914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6B26545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50000</w:t>
            </w:r>
          </w:p>
        </w:tc>
      </w:tr>
      <w:tr w14:paraId="233F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gridSpan w:val="2"/>
            <w:noWrap w:val="0"/>
            <w:vAlign w:val="top"/>
          </w:tcPr>
          <w:p w14:paraId="152062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合计</w:t>
            </w:r>
          </w:p>
        </w:tc>
        <w:tc>
          <w:tcPr>
            <w:tcW w:w="5878" w:type="dxa"/>
            <w:gridSpan w:val="4"/>
            <w:noWrap w:val="0"/>
            <w:vAlign w:val="top"/>
          </w:tcPr>
          <w:p w14:paraId="1EF791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203500</w:t>
            </w:r>
          </w:p>
        </w:tc>
      </w:tr>
    </w:tbl>
    <w:p w14:paraId="77169DC5">
      <w:pPr>
        <w:keepNext w:val="0"/>
        <w:keepLines w:val="0"/>
        <w:pageBreakBefore w:val="0"/>
        <w:widowControl/>
        <w:suppressLineNumbers w:val="0"/>
        <w:kinsoku/>
        <w:wordWrap/>
        <w:overflowPunct/>
        <w:topLinePunct w:val="0"/>
        <w:autoSpaceDE/>
        <w:autoSpaceDN/>
        <w:bidi w:val="0"/>
        <w:adjustRightInd/>
        <w:snapToGrid/>
        <w:spacing w:line="570" w:lineRule="exact"/>
        <w:ind w:left="0" w:leftChars="0" w:firstLine="0" w:firstLineChars="0"/>
        <w:jc w:val="center"/>
        <w:textAlignment w:val="center"/>
        <w:rPr>
          <w:rFonts w:hint="default"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计算机实训室设备清单</w:t>
      </w:r>
    </w:p>
    <w:tbl>
      <w:tblPr>
        <w:tblStyle w:val="10"/>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812"/>
        <w:gridCol w:w="3924"/>
        <w:gridCol w:w="1868"/>
      </w:tblGrid>
      <w:tr w14:paraId="6BE9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34" w:type="dxa"/>
            <w:vMerge w:val="restart"/>
            <w:tcBorders>
              <w:top w:val="single" w:color="auto" w:sz="4" w:space="0"/>
              <w:left w:val="single" w:color="auto" w:sz="4" w:space="0"/>
              <w:bottom w:val="single" w:color="auto" w:sz="4" w:space="0"/>
              <w:right w:val="single" w:color="auto" w:sz="4" w:space="0"/>
            </w:tcBorders>
            <w:vAlign w:val="center"/>
          </w:tcPr>
          <w:p w14:paraId="0A48AE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序号</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14:paraId="293F42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实训室名称</w:t>
            </w:r>
          </w:p>
        </w:tc>
        <w:tc>
          <w:tcPr>
            <w:tcW w:w="5792" w:type="dxa"/>
            <w:gridSpan w:val="2"/>
            <w:tcBorders>
              <w:top w:val="single" w:color="auto" w:sz="4" w:space="0"/>
              <w:left w:val="single" w:color="auto" w:sz="4" w:space="0"/>
              <w:bottom w:val="single" w:color="auto" w:sz="4" w:space="0"/>
              <w:right w:val="single" w:color="auto" w:sz="4" w:space="0"/>
            </w:tcBorders>
            <w:vAlign w:val="center"/>
          </w:tcPr>
          <w:p w14:paraId="2FA930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主要工具和设施设备</w:t>
            </w:r>
          </w:p>
        </w:tc>
      </w:tr>
      <w:tr w14:paraId="793D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1F31F85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458261E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499AC2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名称</w:t>
            </w:r>
          </w:p>
        </w:tc>
        <w:tc>
          <w:tcPr>
            <w:tcW w:w="1868" w:type="dxa"/>
            <w:tcBorders>
              <w:top w:val="single" w:color="auto" w:sz="4" w:space="0"/>
              <w:left w:val="single" w:color="auto" w:sz="4" w:space="0"/>
              <w:bottom w:val="single" w:color="auto" w:sz="4" w:space="0"/>
              <w:right w:val="single" w:color="auto" w:sz="4" w:space="0"/>
            </w:tcBorders>
            <w:vAlign w:val="center"/>
          </w:tcPr>
          <w:p w14:paraId="7B11E9D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数量（生均台套）</w:t>
            </w:r>
          </w:p>
        </w:tc>
      </w:tr>
      <w:tr w14:paraId="7F43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restart"/>
            <w:tcBorders>
              <w:top w:val="single" w:color="auto" w:sz="4" w:space="0"/>
              <w:left w:val="single" w:color="auto" w:sz="4" w:space="0"/>
              <w:bottom w:val="single" w:color="auto" w:sz="4" w:space="0"/>
              <w:right w:val="single" w:color="auto" w:sz="4" w:space="0"/>
            </w:tcBorders>
            <w:vAlign w:val="center"/>
          </w:tcPr>
          <w:p w14:paraId="446D6A3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14:paraId="26EF5A5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理实一体化教室</w:t>
            </w:r>
          </w:p>
        </w:tc>
        <w:tc>
          <w:tcPr>
            <w:tcW w:w="3924" w:type="dxa"/>
            <w:tcBorders>
              <w:top w:val="single" w:color="auto" w:sz="4" w:space="0"/>
              <w:left w:val="single" w:color="auto" w:sz="4" w:space="0"/>
              <w:bottom w:val="single" w:color="auto" w:sz="4" w:space="0"/>
              <w:right w:val="single" w:color="auto" w:sz="4" w:space="0"/>
            </w:tcBorders>
            <w:vAlign w:val="center"/>
          </w:tcPr>
          <w:p w14:paraId="3A8161F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计算机主机</w:t>
            </w:r>
          </w:p>
        </w:tc>
        <w:tc>
          <w:tcPr>
            <w:tcW w:w="1868" w:type="dxa"/>
            <w:tcBorders>
              <w:top w:val="single" w:color="auto" w:sz="4" w:space="0"/>
              <w:left w:val="single" w:color="auto" w:sz="4" w:space="0"/>
              <w:bottom w:val="single" w:color="auto" w:sz="4" w:space="0"/>
              <w:right w:val="single" w:color="auto" w:sz="4" w:space="0"/>
            </w:tcBorders>
            <w:vAlign w:val="center"/>
          </w:tcPr>
          <w:p w14:paraId="26E7A1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80（1）</w:t>
            </w:r>
          </w:p>
        </w:tc>
      </w:tr>
      <w:tr w14:paraId="6540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23D35C6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6980C3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5792" w:type="dxa"/>
            <w:gridSpan w:val="2"/>
            <w:tcBorders>
              <w:top w:val="single" w:color="auto" w:sz="4" w:space="0"/>
              <w:left w:val="single" w:color="auto" w:sz="4" w:space="0"/>
              <w:bottom w:val="single" w:color="auto" w:sz="4" w:space="0"/>
              <w:right w:val="single" w:color="auto" w:sz="4" w:space="0"/>
            </w:tcBorders>
            <w:vAlign w:val="center"/>
          </w:tcPr>
          <w:p w14:paraId="16B6B7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投影仪 1</w:t>
            </w:r>
          </w:p>
        </w:tc>
      </w:tr>
      <w:tr w14:paraId="4872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2CD8BDE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5B5836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5792" w:type="dxa"/>
            <w:gridSpan w:val="2"/>
            <w:tcBorders>
              <w:top w:val="single" w:color="auto" w:sz="4" w:space="0"/>
              <w:left w:val="single" w:color="auto" w:sz="4" w:space="0"/>
              <w:bottom w:val="single" w:color="auto" w:sz="4" w:space="0"/>
              <w:right w:val="single" w:color="auto" w:sz="4" w:space="0"/>
            </w:tcBorders>
            <w:vAlign w:val="center"/>
          </w:tcPr>
          <w:p w14:paraId="646E4B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相应学习软件 若干</w:t>
            </w:r>
          </w:p>
        </w:tc>
      </w:tr>
      <w:tr w14:paraId="7EC9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restart"/>
            <w:tcBorders>
              <w:top w:val="single" w:color="auto" w:sz="4" w:space="0"/>
              <w:left w:val="single" w:color="auto" w:sz="4" w:space="0"/>
              <w:bottom w:val="single" w:color="auto" w:sz="4" w:space="0"/>
              <w:right w:val="single" w:color="auto" w:sz="4" w:space="0"/>
            </w:tcBorders>
            <w:vAlign w:val="center"/>
          </w:tcPr>
          <w:p w14:paraId="5F202C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14:paraId="534AE4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书刊排版系列与数字媒体系列实训室</w:t>
            </w:r>
          </w:p>
        </w:tc>
        <w:tc>
          <w:tcPr>
            <w:tcW w:w="3924" w:type="dxa"/>
            <w:tcBorders>
              <w:top w:val="single" w:color="auto" w:sz="4" w:space="0"/>
              <w:left w:val="single" w:color="auto" w:sz="4" w:space="0"/>
              <w:bottom w:val="single" w:color="auto" w:sz="4" w:space="0"/>
              <w:right w:val="single" w:color="auto" w:sz="4" w:space="0"/>
            </w:tcBorders>
            <w:vAlign w:val="center"/>
          </w:tcPr>
          <w:p w14:paraId="24EDCBE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打印复印机、绘图仪、扫描仪、切纸机等图文设备</w:t>
            </w:r>
          </w:p>
        </w:tc>
        <w:tc>
          <w:tcPr>
            <w:tcW w:w="1868" w:type="dxa"/>
            <w:tcBorders>
              <w:top w:val="single" w:color="auto" w:sz="4" w:space="0"/>
              <w:left w:val="single" w:color="auto" w:sz="4" w:space="0"/>
              <w:bottom w:val="single" w:color="auto" w:sz="4" w:space="0"/>
              <w:right w:val="single" w:color="auto" w:sz="4" w:space="0"/>
            </w:tcBorders>
            <w:vAlign w:val="center"/>
          </w:tcPr>
          <w:p w14:paraId="01CFB2B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各1</w:t>
            </w:r>
          </w:p>
        </w:tc>
      </w:tr>
      <w:tr w14:paraId="15E5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21609B4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B8ECB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1F3DD4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各种纸张及印刷材料</w:t>
            </w:r>
          </w:p>
        </w:tc>
        <w:tc>
          <w:tcPr>
            <w:tcW w:w="1868" w:type="dxa"/>
            <w:tcBorders>
              <w:top w:val="single" w:color="auto" w:sz="4" w:space="0"/>
              <w:left w:val="single" w:color="auto" w:sz="4" w:space="0"/>
              <w:bottom w:val="single" w:color="auto" w:sz="4" w:space="0"/>
              <w:right w:val="single" w:color="auto" w:sz="4" w:space="0"/>
            </w:tcBorders>
            <w:vAlign w:val="center"/>
          </w:tcPr>
          <w:p w14:paraId="356626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若干</w:t>
            </w:r>
          </w:p>
        </w:tc>
      </w:tr>
      <w:tr w14:paraId="534D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56CE55D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27BBB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1B73591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高配电脑</w:t>
            </w:r>
          </w:p>
        </w:tc>
        <w:tc>
          <w:tcPr>
            <w:tcW w:w="1868" w:type="dxa"/>
            <w:tcBorders>
              <w:top w:val="single" w:color="auto" w:sz="4" w:space="0"/>
              <w:left w:val="single" w:color="auto" w:sz="4" w:space="0"/>
              <w:bottom w:val="single" w:color="auto" w:sz="4" w:space="0"/>
              <w:right w:val="single" w:color="auto" w:sz="4" w:space="0"/>
            </w:tcBorders>
            <w:vAlign w:val="center"/>
          </w:tcPr>
          <w:p w14:paraId="107816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w:t>
            </w:r>
          </w:p>
        </w:tc>
      </w:tr>
      <w:tr w14:paraId="4276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1FDC42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6609F3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7157E9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IPAD</w:t>
            </w:r>
          </w:p>
        </w:tc>
        <w:tc>
          <w:tcPr>
            <w:tcW w:w="1868" w:type="dxa"/>
            <w:tcBorders>
              <w:top w:val="single" w:color="auto" w:sz="4" w:space="0"/>
              <w:left w:val="single" w:color="auto" w:sz="4" w:space="0"/>
              <w:bottom w:val="single" w:color="auto" w:sz="4" w:space="0"/>
              <w:right w:val="single" w:color="auto" w:sz="4" w:space="0"/>
            </w:tcBorders>
            <w:vAlign w:val="center"/>
          </w:tcPr>
          <w:p w14:paraId="29CFAFA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r>
      <w:tr w14:paraId="581E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70A229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5FC5CBA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57F9D78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飞翔数字版正版软件</w:t>
            </w:r>
          </w:p>
        </w:tc>
        <w:tc>
          <w:tcPr>
            <w:tcW w:w="1868" w:type="dxa"/>
            <w:tcBorders>
              <w:top w:val="single" w:color="auto" w:sz="4" w:space="0"/>
              <w:left w:val="single" w:color="auto" w:sz="4" w:space="0"/>
              <w:bottom w:val="single" w:color="auto" w:sz="4" w:space="0"/>
              <w:right w:val="single" w:color="auto" w:sz="4" w:space="0"/>
            </w:tcBorders>
            <w:vAlign w:val="center"/>
          </w:tcPr>
          <w:p w14:paraId="27CE7B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w:t>
            </w:r>
          </w:p>
        </w:tc>
      </w:tr>
    </w:tbl>
    <w:p w14:paraId="7A68B653">
      <w:pPr>
        <w:keepNext w:val="0"/>
        <w:keepLines w:val="0"/>
        <w:pageBreakBefore w:val="0"/>
        <w:widowControl/>
        <w:suppressLineNumbers w:val="0"/>
        <w:kinsoku/>
        <w:wordWrap/>
        <w:overflowPunct/>
        <w:topLinePunct w:val="0"/>
        <w:autoSpaceDE/>
        <w:autoSpaceDN/>
        <w:bidi w:val="0"/>
        <w:adjustRightInd/>
        <w:snapToGrid/>
        <w:spacing w:line="570" w:lineRule="exact"/>
        <w:ind w:left="0" w:leftChars="0" w:firstLine="0" w:firstLineChars="0"/>
        <w:jc w:val="center"/>
        <w:textAlignment w:val="center"/>
        <w:rPr>
          <w:rFonts w:hint="default"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口腔实训室设备清单</w:t>
      </w:r>
    </w:p>
    <w:tbl>
      <w:tblPr>
        <w:tblStyle w:val="10"/>
        <w:tblW w:w="8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39"/>
        <w:gridCol w:w="3095"/>
        <w:gridCol w:w="1064"/>
        <w:gridCol w:w="1718"/>
      </w:tblGrid>
      <w:tr w14:paraId="176F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77" w:type="dxa"/>
            <w:vMerge w:val="restart"/>
            <w:noWrap w:val="0"/>
            <w:vAlign w:val="center"/>
          </w:tcPr>
          <w:p w14:paraId="5BA4DF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序号</w:t>
            </w:r>
          </w:p>
        </w:tc>
        <w:tc>
          <w:tcPr>
            <w:tcW w:w="1939" w:type="dxa"/>
            <w:vMerge w:val="restart"/>
            <w:noWrap w:val="0"/>
            <w:vAlign w:val="center"/>
          </w:tcPr>
          <w:p w14:paraId="69E481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实训室名称</w:t>
            </w:r>
          </w:p>
        </w:tc>
        <w:tc>
          <w:tcPr>
            <w:tcW w:w="5877" w:type="dxa"/>
            <w:gridSpan w:val="3"/>
            <w:noWrap w:val="0"/>
            <w:vAlign w:val="center"/>
          </w:tcPr>
          <w:p w14:paraId="612937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主要工具和设施设备</w:t>
            </w:r>
          </w:p>
        </w:tc>
      </w:tr>
      <w:tr w14:paraId="5DCF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77" w:type="dxa"/>
            <w:vMerge w:val="continue"/>
            <w:noWrap w:val="0"/>
            <w:vAlign w:val="center"/>
          </w:tcPr>
          <w:p w14:paraId="0D783C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939" w:type="dxa"/>
            <w:vMerge w:val="continue"/>
            <w:noWrap w:val="0"/>
            <w:vAlign w:val="center"/>
          </w:tcPr>
          <w:p w14:paraId="684742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3095" w:type="dxa"/>
            <w:noWrap w:val="0"/>
            <w:vAlign w:val="center"/>
          </w:tcPr>
          <w:p w14:paraId="73DBA4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名称</w:t>
            </w:r>
          </w:p>
        </w:tc>
        <w:tc>
          <w:tcPr>
            <w:tcW w:w="1064" w:type="dxa"/>
            <w:noWrap w:val="0"/>
            <w:vAlign w:val="center"/>
          </w:tcPr>
          <w:p w14:paraId="4E07771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规格</w:t>
            </w:r>
          </w:p>
        </w:tc>
        <w:tc>
          <w:tcPr>
            <w:tcW w:w="1718" w:type="dxa"/>
            <w:noWrap w:val="0"/>
            <w:vAlign w:val="top"/>
          </w:tcPr>
          <w:p w14:paraId="6B28F0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数量（生均台套）</w:t>
            </w:r>
          </w:p>
        </w:tc>
      </w:tr>
      <w:tr w14:paraId="134F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dxa"/>
            <w:noWrap w:val="0"/>
            <w:vAlign w:val="center"/>
          </w:tcPr>
          <w:p w14:paraId="3EA175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939" w:type="dxa"/>
            <w:noWrap w:val="0"/>
            <w:vAlign w:val="center"/>
          </w:tcPr>
          <w:p w14:paraId="3B7A705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基础医学实训室</w:t>
            </w:r>
          </w:p>
        </w:tc>
        <w:tc>
          <w:tcPr>
            <w:tcW w:w="3095" w:type="dxa"/>
            <w:noWrap w:val="0"/>
            <w:vAlign w:val="center"/>
          </w:tcPr>
          <w:p w14:paraId="3819B8E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解剖标本及模型等，医学基础实训</w:t>
            </w:r>
          </w:p>
        </w:tc>
        <w:tc>
          <w:tcPr>
            <w:tcW w:w="1064" w:type="dxa"/>
            <w:noWrap w:val="0"/>
            <w:vAlign w:val="center"/>
          </w:tcPr>
          <w:p w14:paraId="193615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30套</w:t>
            </w:r>
          </w:p>
        </w:tc>
        <w:tc>
          <w:tcPr>
            <w:tcW w:w="1718" w:type="dxa"/>
            <w:noWrap w:val="0"/>
            <w:vAlign w:val="center"/>
          </w:tcPr>
          <w:p w14:paraId="2B2C54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l套／1人</w:t>
            </w:r>
          </w:p>
        </w:tc>
      </w:tr>
      <w:tr w14:paraId="03B4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dxa"/>
            <w:noWrap w:val="0"/>
            <w:vAlign w:val="center"/>
          </w:tcPr>
          <w:p w14:paraId="047D57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939" w:type="dxa"/>
            <w:noWrap w:val="0"/>
            <w:vAlign w:val="center"/>
          </w:tcPr>
          <w:p w14:paraId="52C7FA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口腔疾病实训室</w:t>
            </w:r>
          </w:p>
        </w:tc>
        <w:tc>
          <w:tcPr>
            <w:tcW w:w="3095" w:type="dxa"/>
            <w:noWrap w:val="0"/>
            <w:vAlign w:val="center"/>
          </w:tcPr>
          <w:p w14:paraId="3530DE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综合治疗椅、高压蒸汽灭菌器、根管牙胶充填机、拔牙钳、根管扩大针、粘固粉、托槽等</w:t>
            </w:r>
          </w:p>
        </w:tc>
        <w:tc>
          <w:tcPr>
            <w:tcW w:w="1064" w:type="dxa"/>
            <w:noWrap w:val="0"/>
            <w:vAlign w:val="center"/>
          </w:tcPr>
          <w:p w14:paraId="7C2BFB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10套、3台</w:t>
            </w:r>
          </w:p>
        </w:tc>
        <w:tc>
          <w:tcPr>
            <w:tcW w:w="1718" w:type="dxa"/>
            <w:noWrap w:val="0"/>
            <w:vAlign w:val="center"/>
          </w:tcPr>
          <w:p w14:paraId="305E10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1套／1组</w:t>
            </w:r>
          </w:p>
        </w:tc>
      </w:tr>
      <w:tr w14:paraId="6B20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dxa"/>
            <w:noWrap w:val="0"/>
            <w:vAlign w:val="center"/>
          </w:tcPr>
          <w:p w14:paraId="53C82DA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w:t>
            </w:r>
          </w:p>
        </w:tc>
        <w:tc>
          <w:tcPr>
            <w:tcW w:w="1939" w:type="dxa"/>
            <w:noWrap w:val="0"/>
            <w:vAlign w:val="center"/>
          </w:tcPr>
          <w:p w14:paraId="55C212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固定义齿修 复实训室</w:t>
            </w:r>
          </w:p>
        </w:tc>
        <w:tc>
          <w:tcPr>
            <w:tcW w:w="3095" w:type="dxa"/>
            <w:noWrap w:val="0"/>
            <w:vAlign w:val="center"/>
          </w:tcPr>
          <w:p w14:paraId="4F3308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瓷粉、烤瓷炉、铸造机、茂福炉、打磨机等</w:t>
            </w:r>
          </w:p>
        </w:tc>
        <w:tc>
          <w:tcPr>
            <w:tcW w:w="1064" w:type="dxa"/>
            <w:noWrap w:val="0"/>
            <w:vAlign w:val="center"/>
          </w:tcPr>
          <w:p w14:paraId="13E95C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1套、5台</w:t>
            </w:r>
          </w:p>
        </w:tc>
        <w:tc>
          <w:tcPr>
            <w:tcW w:w="1718" w:type="dxa"/>
            <w:noWrap w:val="0"/>
            <w:vAlign w:val="center"/>
          </w:tcPr>
          <w:p w14:paraId="40A21B9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l套／1组</w:t>
            </w:r>
          </w:p>
        </w:tc>
      </w:tr>
      <w:tr w14:paraId="006A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7" w:type="dxa"/>
            <w:noWrap w:val="0"/>
            <w:vAlign w:val="center"/>
          </w:tcPr>
          <w:p w14:paraId="019D2EB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939" w:type="dxa"/>
            <w:noWrap w:val="0"/>
            <w:vAlign w:val="center"/>
          </w:tcPr>
          <w:p w14:paraId="6787B44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可摘义齿修 复实训室</w:t>
            </w:r>
          </w:p>
        </w:tc>
        <w:tc>
          <w:tcPr>
            <w:tcW w:w="3095" w:type="dxa"/>
            <w:noWrap w:val="0"/>
            <w:vAlign w:val="center"/>
          </w:tcPr>
          <w:p w14:paraId="1BC2F6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技工钳、牙合架、塑料牙等</w:t>
            </w:r>
          </w:p>
        </w:tc>
        <w:tc>
          <w:tcPr>
            <w:tcW w:w="1064" w:type="dxa"/>
            <w:noWrap w:val="0"/>
            <w:vAlign w:val="center"/>
          </w:tcPr>
          <w:p w14:paraId="24B312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30套</w:t>
            </w:r>
          </w:p>
        </w:tc>
        <w:tc>
          <w:tcPr>
            <w:tcW w:w="1718" w:type="dxa"/>
            <w:noWrap w:val="0"/>
            <w:vAlign w:val="center"/>
          </w:tcPr>
          <w:p w14:paraId="73F9E40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1套／1人</w:t>
            </w:r>
          </w:p>
        </w:tc>
      </w:tr>
    </w:tbl>
    <w:p w14:paraId="496F685E">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6" w:name="_Toc17291"/>
      <w:r>
        <w:rPr>
          <w:rFonts w:hint="eastAsia"/>
          <w:b w:val="0"/>
          <w:bCs/>
          <w:lang w:val="en-US" w:eastAsia="zh-CN"/>
        </w:rPr>
        <w:t>二、人才培养</w:t>
      </w:r>
      <w:bookmarkEnd w:id="6"/>
    </w:p>
    <w:p w14:paraId="0BC65075">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7" w:name="_Toc21791"/>
      <w:r>
        <w:rPr>
          <w:rFonts w:hint="eastAsia" w:ascii="方正楷体_GB2312" w:hAnsi="方正楷体_GB2312" w:eastAsia="方正楷体_GB2312" w:cs="方正楷体_GB2312"/>
          <w:b w:val="0"/>
          <w:bCs/>
          <w:lang w:val="en-US" w:eastAsia="zh-CN"/>
        </w:rPr>
        <w:t>2.1</w:t>
      </w:r>
      <w:r>
        <w:rPr>
          <w:rFonts w:hint="eastAsia" w:ascii="方正楷体_GB2312" w:hAnsi="方正楷体_GB2312" w:eastAsia="方正楷体_GB2312" w:cs="方正楷体_GB2312"/>
          <w:b w:val="0"/>
          <w:bCs/>
          <w:lang w:eastAsia="zh-CN"/>
        </w:rPr>
        <w:t>党建引领</w:t>
      </w:r>
      <w:bookmarkEnd w:id="7"/>
    </w:p>
    <w:p w14:paraId="04F070B3">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年度，中共咸阳协和职业学校支部委员会以习近平新时代中国特色社会主义思想为指导，学习贯彻党的二十大精神、二十届历次全会精神、“十五五”规划，习近平历次来陕考察指示精神。组织广大党员干部学习习近平《关于加强党的作风建设》论述摘编读本、党中央《八项规定》精神、二十届四中全会精神。紧紧围绕新时代党的建设总要求，以党的政治建设为统领，全面推进党的政治建设、思想建设、组织建设、作风建设、纪律建设，把制度建设贯穿其中。</w:t>
      </w:r>
    </w:p>
    <w:p w14:paraId="71B9403C">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全面贯彻新时代党的教育方针，加强党对学校的全面领导，建立中小学校党组织领导的校长负责制。为推动学校各项事业发展提供坚强的政治保证和组织保障。</w:t>
      </w:r>
    </w:p>
    <w:p w14:paraId="10A5FE2C">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利用主题党日活动，坚持把党的领导贯穿学校工作的各个方面，把思想政治工作贯穿教育管理全过程，着眼立德树人根本任务，狠抓师德师风建设。深入学习习近平论教育读本，不断提高教育教学质量，发挥学校党组织的政治核心作用，引领学校科学、全面发展。</w:t>
      </w:r>
    </w:p>
    <w:p w14:paraId="20B0C076">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eastAsia="宋体"/>
          <w:lang w:eastAsia="zh-CN"/>
        </w:rPr>
        <w:drawing>
          <wp:anchor distT="0" distB="0" distL="114300" distR="114300" simplePos="0" relativeHeight="251677696" behindDoc="0" locked="0" layoutInCell="1" allowOverlap="1">
            <wp:simplePos x="0" y="0"/>
            <wp:positionH relativeFrom="column">
              <wp:posOffset>2734310</wp:posOffset>
            </wp:positionH>
            <wp:positionV relativeFrom="paragraph">
              <wp:posOffset>287020</wp:posOffset>
            </wp:positionV>
            <wp:extent cx="2363470" cy="1499870"/>
            <wp:effectExtent l="0" t="0" r="17780" b="5080"/>
            <wp:wrapNone/>
            <wp:docPr id="17" name="图片 2" descr="1c24359bbfeb255342c4ab98dcc3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1c24359bbfeb255342c4ab98dcc37f1"/>
                    <pic:cNvPicPr>
                      <a:picLocks noChangeAspect="1"/>
                    </pic:cNvPicPr>
                  </pic:nvPicPr>
                  <pic:blipFill>
                    <a:blip r:embed="rId16"/>
                    <a:srcRect t="22758" b="228"/>
                    <a:stretch>
                      <a:fillRect/>
                    </a:stretch>
                  </pic:blipFill>
                  <pic:spPr>
                    <a:xfrm>
                      <a:off x="0" y="0"/>
                      <a:ext cx="2363470" cy="1499870"/>
                    </a:xfrm>
                    <a:prstGeom prst="rect">
                      <a:avLst/>
                    </a:prstGeom>
                    <a:noFill/>
                    <a:ln>
                      <a:noFill/>
                    </a:ln>
                  </pic:spPr>
                </pic:pic>
              </a:graphicData>
            </a:graphic>
          </wp:anchor>
        </w:drawing>
      </w:r>
      <w:r>
        <w:rPr>
          <w:rFonts w:hint="eastAsia" w:ascii="微软雅黑" w:hAnsi="微软雅黑" w:eastAsia="微软雅黑" w:cs="微软雅黑"/>
          <w:i w:val="0"/>
          <w:iCs w:val="0"/>
          <w:caps w:val="0"/>
          <w:spacing w:val="7"/>
          <w:sz w:val="19"/>
          <w:szCs w:val="19"/>
        </w:rPr>
        <w:drawing>
          <wp:anchor distT="0" distB="0" distL="114300" distR="114300" simplePos="0" relativeHeight="251676672" behindDoc="0" locked="0" layoutInCell="1" allowOverlap="1">
            <wp:simplePos x="0" y="0"/>
            <wp:positionH relativeFrom="column">
              <wp:posOffset>43815</wp:posOffset>
            </wp:positionH>
            <wp:positionV relativeFrom="paragraph">
              <wp:posOffset>249555</wp:posOffset>
            </wp:positionV>
            <wp:extent cx="2397125" cy="1537335"/>
            <wp:effectExtent l="0" t="0" r="3175" b="5715"/>
            <wp:wrapNone/>
            <wp:docPr id="16" name="图片 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74"/>
                    <pic:cNvPicPr>
                      <a:picLocks noChangeAspect="1"/>
                    </pic:cNvPicPr>
                  </pic:nvPicPr>
                  <pic:blipFill>
                    <a:blip r:embed="rId17"/>
                    <a:srcRect t="-2345" r="9474" b="28602"/>
                    <a:stretch>
                      <a:fillRect/>
                    </a:stretch>
                  </pic:blipFill>
                  <pic:spPr>
                    <a:xfrm>
                      <a:off x="0" y="0"/>
                      <a:ext cx="2397125" cy="1537335"/>
                    </a:xfrm>
                    <a:prstGeom prst="rect">
                      <a:avLst/>
                    </a:prstGeom>
                    <a:noFill/>
                    <a:ln>
                      <a:noFill/>
                    </a:ln>
                  </pic:spPr>
                </pic:pic>
              </a:graphicData>
            </a:graphic>
          </wp:anchor>
        </w:drawing>
      </w:r>
    </w:p>
    <w:p w14:paraId="3030BD9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p>
    <w:p w14:paraId="035628C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p>
    <w:p w14:paraId="1924C3C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p>
    <w:p w14:paraId="23B89E33">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 xml:space="preserve"> </w:t>
      </w:r>
    </w:p>
    <w:p w14:paraId="505E5DFA">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主题党日活动1              主题党日活动2</w:t>
      </w:r>
    </w:p>
    <w:p w14:paraId="49CEE90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8" w:name="_Toc30455"/>
      <w:r>
        <w:rPr>
          <w:rFonts w:hint="eastAsia" w:ascii="方正楷体_GB2312" w:hAnsi="方正楷体_GB2312" w:eastAsia="方正楷体_GB2312" w:cs="方正楷体_GB2312"/>
          <w:b w:val="0"/>
          <w:bCs/>
          <w:lang w:val="en-US" w:eastAsia="zh-CN"/>
        </w:rPr>
        <w:t>2.2立德树人</w:t>
      </w:r>
      <w:bookmarkEnd w:id="8"/>
    </w:p>
    <w:p w14:paraId="06839D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学校成立了由校长领导，学生处负责，班主任主抓，全体教职工参与的“三全育人” 典型学校培育工作小组，小组多次召开动员会、推进会，全体师生积极参与到各项工作中，将 “全员育人、全过程育人、全方位育人” 理念贯穿于学校教育教学的始终。</w:t>
      </w:r>
    </w:p>
    <w:p w14:paraId="0700038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重视思政教育，通过组织思政课堂教学研讨活动、集体备课等推动思政教学改革，发挥思政主渠道作用，同时要求全体教师将德育融入各类课程教学。学生在各类思想政治教育活动、主题班会等引导下，思想政治素质不断提升。学习积极性与主动性显著增强，在课堂上踊跃发言、积极参与各类学习活动。在各级各类竞赛中，学生们充分发挥自身优势，屡获佳绩。</w:t>
      </w:r>
    </w:p>
    <w:p w14:paraId="3E05D78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丰富学生业余文化生活，充分发挥“第二课堂”主阵地作用，给学生提供一个展现自我，提升自我的机会和舞台，促进学生综合素质能力提升。我校学生处举办素质能力提升系列兴趣活动，包括：诵读经典、红歌比赛、作文竞赛等。活动的举办体现了学校坚持五育并举，立德树人根本任务，彰显了三全育人典型学部建设成果。</w:t>
      </w:r>
    </w:p>
    <w:p w14:paraId="2A3EA67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9" w:name="_Toc23973"/>
      <w:r>
        <w:rPr>
          <w:rFonts w:hint="eastAsia" w:ascii="方正楷体_GB2312" w:hAnsi="方正楷体_GB2312" w:eastAsia="方正楷体_GB2312" w:cs="方正楷体_GB2312"/>
          <w:b w:val="0"/>
          <w:bCs/>
          <w:lang w:val="en-US" w:eastAsia="zh-CN"/>
        </w:rPr>
        <w:t>2.3专业建设</w:t>
      </w:r>
      <w:bookmarkEnd w:id="9"/>
    </w:p>
    <w:p w14:paraId="6467AEC8">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lang w:val="en-US" w:eastAsia="zh-CN"/>
        </w:rPr>
        <w:t>学校全面贯彻党的教育方针，坚持以升学和就业为导向，以服务为宗旨的办学方针，以质量求生存，以特色促发展，根据社会急需、校企共建、特色创新的原则，以护理、幼儿保育专业为龙头相关专业为支撑，带动专业建设与改革，以专业建设推动人才培养模式、课程体系与教学内容、教学方法与手段的改革，促进师资队伍建设、教学资源建设，提高人才培养质量，实现学校的可持续发展。学校加强对特色专业的指导和领导；加大特色专业建设的经费投入；加强特色专业教学团队建设；加快特色专业人</w:t>
      </w:r>
      <w:r>
        <w:rPr>
          <w:rFonts w:hint="eastAsia" w:ascii="仿宋" w:hAnsi="仿宋" w:eastAsia="仿宋" w:cs="仿宋"/>
          <w:kern w:val="0"/>
          <w:sz w:val="32"/>
          <w:szCs w:val="32"/>
          <w:highlight w:val="none"/>
          <w:lang w:val="en-US" w:eastAsia="zh-CN"/>
        </w:rPr>
        <w:t>才培养模式的改革；深化教学内容、教学方法的改革。</w:t>
      </w:r>
    </w:p>
    <w:p w14:paraId="36FAAD4E">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学校重点建设专业：护理专业。咸阳市技能培训专项行动：实施“技能照亮前程”行动（2025——2027年），计划每年为康养领域培养2000人次以上技能人才。产教融合平台建设：已建成14个市域产教联合体和8个产教融合共同体，包括医药康养、食养食疗等与护理紧密相关的行业。</w:t>
      </w:r>
    </w:p>
    <w:p w14:paraId="2B4682C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幼儿保育专业作为重点建设专业，以“立德树人”为根本，以“岗位需求”为导向，聚焦幼儿园保育员、早教机构保教专员、托育机构照护员等核心岗位，培养具备幼儿生活照护、健康护理、习惯养成、游戏组织等核心能力，兼具职业道德与人文素养，能快速适配学前教育一线岗位的技能型、素养型、实用型保育人才。</w:t>
      </w:r>
    </w:p>
    <w:p w14:paraId="440A17AA">
      <w:pPr>
        <w:pStyle w:val="4"/>
        <w:keepNext w:val="0"/>
        <w:keepLines w:val="0"/>
        <w:pageBreakBefore w:val="0"/>
        <w:widowControl w:val="0"/>
        <w:kinsoku w:val="0"/>
        <w:wordWrap/>
        <w:overflowPunct w:val="0"/>
        <w:topLinePunct w:val="0"/>
        <w:autoSpaceDE w:val="0"/>
        <w:autoSpaceDN w:val="0"/>
        <w:bidi w:val="0"/>
        <w:adjustRightInd w:val="0"/>
        <w:snapToGrid w:val="0"/>
        <w:spacing w:line="570" w:lineRule="exact"/>
        <w:textAlignment w:val="auto"/>
        <w:rPr>
          <w:rFonts w:hint="eastAsia" w:ascii="方正楷体_GB2312" w:hAnsi="方正楷体_GB2312" w:eastAsia="方正楷体_GB2312" w:cs="方正楷体_GB2312"/>
          <w:b w:val="0"/>
          <w:bCs/>
          <w:lang w:val="en-US" w:eastAsia="zh-CN"/>
        </w:rPr>
      </w:pPr>
      <w:bookmarkStart w:id="10" w:name="_Toc5416"/>
      <w:r>
        <w:rPr>
          <w:rFonts w:hint="eastAsia" w:ascii="方正楷体_GB2312" w:hAnsi="方正楷体_GB2312" w:eastAsia="方正楷体_GB2312" w:cs="方正楷体_GB2312"/>
          <w:b w:val="0"/>
          <w:bCs/>
          <w:lang w:val="en-US" w:eastAsia="zh-CN"/>
        </w:rPr>
        <w:t>2.4 课程建设（含教材建设）</w:t>
      </w:r>
      <w:bookmarkEnd w:id="10"/>
    </w:p>
    <w:p w14:paraId="3C662F6E">
      <w:pPr>
        <w:keepNext w:val="0"/>
        <w:keepLines w:val="0"/>
        <w:pageBreakBefore w:val="0"/>
        <w:widowControl w:val="0"/>
        <w:numPr>
          <w:ilvl w:val="0"/>
          <w:numId w:val="1"/>
        </w:numPr>
        <w:kinsoku w:val="0"/>
        <w:wordWrap/>
        <w:overflowPunct w:val="0"/>
        <w:topLinePunct w:val="0"/>
        <w:autoSpaceDE w:val="0"/>
        <w:autoSpaceDN w:val="0"/>
        <w:bidi w:val="0"/>
        <w:adjustRightInd w:val="0"/>
        <w:snapToGrid w:val="0"/>
        <w:spacing w:line="570" w:lineRule="exact"/>
        <w:ind w:firstLine="640" w:firstLineChars="200"/>
        <w:textAlignment w:val="auto"/>
        <w:rPr>
          <w:rFonts w:hint="eastAsia" w:ascii="方正楷体_GB2312" w:hAnsi="方正楷体_GB2312" w:eastAsia="方正楷体_GB2312" w:cs="方正楷体_GB2312"/>
          <w:kern w:val="0"/>
          <w:sz w:val="32"/>
          <w:szCs w:val="32"/>
          <w:lang w:val="en-US" w:eastAsia="zh-CN"/>
        </w:rPr>
      </w:pPr>
      <w:r>
        <w:rPr>
          <w:rFonts w:hint="eastAsia" w:ascii="方正楷体_GB2312" w:hAnsi="方正楷体_GB2312" w:eastAsia="方正楷体_GB2312" w:cs="方正楷体_GB2312"/>
          <w:kern w:val="0"/>
          <w:sz w:val="32"/>
          <w:szCs w:val="32"/>
          <w:lang w:val="en-US" w:eastAsia="zh-CN"/>
        </w:rPr>
        <w:t>课程建设</w:t>
      </w:r>
    </w:p>
    <w:p w14:paraId="7669AD9C">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学校所有的课程建设和课程体系都严格按照国家教育部要求开展中职课程建设工作，在课程设置上划分两大类课程，其分别为公共基础课和专业课程两大类。</w:t>
      </w:r>
    </w:p>
    <w:p w14:paraId="035054AC">
      <w:pPr>
        <w:keepNext w:val="0"/>
        <w:keepLines w:val="0"/>
        <w:pageBreakBefore w:val="0"/>
        <w:widowControl/>
        <w:numPr>
          <w:ilvl w:val="0"/>
          <w:numId w:val="2"/>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公共基础课程</w:t>
      </w:r>
    </w:p>
    <w:p w14:paraId="60262AF3">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 xml:space="preserve">按照国家有关规定开齐开足公共基础课程。 </w:t>
      </w:r>
    </w:p>
    <w:p w14:paraId="12F00BB1">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将思想政治、语文、历史、数学、外语（英语等）、信息技术、体育与健康、艺术、劳动教育等列为公共基础必修课程。将党史国史、中华优秀传统文化、国家安全教育、职业 发展与就业指导、创新创业教育、职业素养等列为必修课程或限定选修课程。</w:t>
      </w:r>
    </w:p>
    <w:p w14:paraId="50FCED58">
      <w:pPr>
        <w:keepNext w:val="0"/>
        <w:keepLines w:val="0"/>
        <w:pageBreakBefore w:val="0"/>
        <w:widowControl/>
        <w:numPr>
          <w:ilvl w:val="0"/>
          <w:numId w:val="2"/>
        </w:numPr>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专业课程</w:t>
      </w:r>
    </w:p>
    <w:p w14:paraId="0A970DB2">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一般包括专业基础课程、专业核心课程和专业拓展课程。专业基础课程是需要前置学习的基础性理论知识和技能构成的课程，是为专业核心课程提供理论和技能支撑的基础课程；专业核心课程是根据岗位工作内容、典型工作任务设置的课程，是培养核心职业能力的主干课程；专业拓展课程是根据学生发展需求横向拓展和纵向深化的课程，是提升综合职业能力的延展课程。</w:t>
      </w:r>
    </w:p>
    <w:p w14:paraId="6779756E">
      <w:pPr>
        <w:keepNext w:val="0"/>
        <w:keepLines w:val="0"/>
        <w:pageBreakBefore w:val="0"/>
        <w:widowControl/>
        <w:numPr>
          <w:ilvl w:val="0"/>
          <w:numId w:val="2"/>
        </w:numPr>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学时安排</w:t>
      </w:r>
    </w:p>
    <w:p w14:paraId="15A024F1">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每学年为</w:t>
      </w:r>
      <w:r>
        <w:rPr>
          <w:rFonts w:hint="default" w:ascii="方正仿宋_GB2312" w:hAnsi="方正仿宋_GB2312" w:eastAsia="方正仿宋_GB2312" w:cs="方正仿宋_GB2312"/>
          <w:kern w:val="0"/>
          <w:sz w:val="32"/>
          <w:szCs w:val="32"/>
          <w:lang w:val="en-US" w:eastAsia="zh-CN"/>
        </w:rPr>
        <w:t>52</w:t>
      </w:r>
      <w:r>
        <w:rPr>
          <w:rFonts w:hint="eastAsia" w:ascii="方正仿宋_GB2312" w:hAnsi="方正仿宋_GB2312" w:eastAsia="方正仿宋_GB2312" w:cs="方正仿宋_GB2312"/>
          <w:kern w:val="0"/>
          <w:sz w:val="32"/>
          <w:szCs w:val="32"/>
          <w:lang w:val="en-US" w:eastAsia="zh-CN"/>
        </w:rPr>
        <w:t>周，其中教学时间</w:t>
      </w:r>
      <w:r>
        <w:rPr>
          <w:rFonts w:hint="default" w:ascii="方正仿宋_GB2312" w:hAnsi="方正仿宋_GB2312" w:eastAsia="方正仿宋_GB2312" w:cs="方正仿宋_GB2312"/>
          <w:kern w:val="0"/>
          <w:sz w:val="32"/>
          <w:szCs w:val="32"/>
          <w:lang w:val="en-US" w:eastAsia="zh-CN"/>
        </w:rPr>
        <w:t>40</w:t>
      </w:r>
      <w:r>
        <w:rPr>
          <w:rFonts w:hint="eastAsia" w:ascii="方正仿宋_GB2312" w:hAnsi="方正仿宋_GB2312" w:eastAsia="方正仿宋_GB2312" w:cs="方正仿宋_GB2312"/>
          <w:kern w:val="0"/>
          <w:sz w:val="32"/>
          <w:szCs w:val="32"/>
          <w:lang w:val="en-US" w:eastAsia="zh-CN"/>
        </w:rPr>
        <w:t>周（含复习考试），累计假期</w:t>
      </w:r>
      <w:r>
        <w:rPr>
          <w:rFonts w:hint="default" w:ascii="方正仿宋_GB2312" w:hAnsi="方正仿宋_GB2312" w:eastAsia="方正仿宋_GB2312" w:cs="方正仿宋_GB2312"/>
          <w:kern w:val="0"/>
          <w:sz w:val="32"/>
          <w:szCs w:val="32"/>
          <w:lang w:val="en-US" w:eastAsia="zh-CN"/>
        </w:rPr>
        <w:t>12</w:t>
      </w:r>
      <w:r>
        <w:rPr>
          <w:rFonts w:hint="eastAsia" w:ascii="方正仿宋_GB2312" w:hAnsi="方正仿宋_GB2312" w:eastAsia="方正仿宋_GB2312" w:cs="方正仿宋_GB2312"/>
          <w:kern w:val="0"/>
          <w:sz w:val="32"/>
          <w:szCs w:val="32"/>
          <w:lang w:val="en-US" w:eastAsia="zh-CN"/>
        </w:rPr>
        <w:t>周，岗位实习按每周</w:t>
      </w:r>
      <w:r>
        <w:rPr>
          <w:rFonts w:hint="default" w:ascii="方正仿宋_GB2312" w:hAnsi="方正仿宋_GB2312" w:eastAsia="方正仿宋_GB2312" w:cs="方正仿宋_GB2312"/>
          <w:kern w:val="0"/>
          <w:sz w:val="32"/>
          <w:szCs w:val="32"/>
          <w:lang w:val="en-US" w:eastAsia="zh-CN"/>
        </w:rPr>
        <w:t>30</w:t>
      </w:r>
      <w:r>
        <w:rPr>
          <w:rFonts w:hint="eastAsia" w:ascii="方正仿宋_GB2312" w:hAnsi="方正仿宋_GB2312" w:eastAsia="方正仿宋_GB2312" w:cs="方正仿宋_GB2312"/>
          <w:kern w:val="0"/>
          <w:sz w:val="32"/>
          <w:szCs w:val="32"/>
          <w:lang w:val="en-US" w:eastAsia="zh-CN"/>
        </w:rPr>
        <w:t>学时安排，</w:t>
      </w:r>
      <w:r>
        <w:rPr>
          <w:rFonts w:hint="default" w:ascii="方正仿宋_GB2312" w:hAnsi="方正仿宋_GB2312" w:eastAsia="方正仿宋_GB2312" w:cs="方正仿宋_GB2312"/>
          <w:kern w:val="0"/>
          <w:sz w:val="32"/>
          <w:szCs w:val="32"/>
          <w:lang w:val="en-US" w:eastAsia="zh-CN"/>
        </w:rPr>
        <w:t>3</w:t>
      </w:r>
      <w:r>
        <w:rPr>
          <w:rFonts w:hint="eastAsia" w:ascii="方正仿宋_GB2312" w:hAnsi="方正仿宋_GB2312" w:eastAsia="方正仿宋_GB2312" w:cs="方正仿宋_GB2312"/>
          <w:kern w:val="0"/>
          <w:sz w:val="32"/>
          <w:szCs w:val="32"/>
          <w:lang w:val="en-US" w:eastAsia="zh-CN"/>
        </w:rPr>
        <w:t>年总学时不少于</w:t>
      </w:r>
      <w:r>
        <w:rPr>
          <w:rFonts w:hint="default" w:ascii="方正仿宋_GB2312" w:hAnsi="方正仿宋_GB2312" w:eastAsia="方正仿宋_GB2312" w:cs="方正仿宋_GB2312"/>
          <w:kern w:val="0"/>
          <w:sz w:val="32"/>
          <w:szCs w:val="32"/>
          <w:lang w:val="en-US" w:eastAsia="zh-CN"/>
        </w:rPr>
        <w:t>3000</w:t>
      </w:r>
      <w:r>
        <w:rPr>
          <w:rFonts w:hint="eastAsia" w:ascii="方正仿宋_GB2312" w:hAnsi="方正仿宋_GB2312" w:eastAsia="方正仿宋_GB2312" w:cs="方正仿宋_GB2312"/>
          <w:kern w:val="0"/>
          <w:sz w:val="32"/>
          <w:szCs w:val="32"/>
          <w:lang w:val="en-US" w:eastAsia="zh-CN"/>
        </w:rPr>
        <w:t>学时。</w:t>
      </w:r>
    </w:p>
    <w:p w14:paraId="03C51F5A">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公共基础课程学时占到总学时的</w:t>
      </w:r>
      <w:r>
        <w:rPr>
          <w:rFonts w:hint="default" w:ascii="方正仿宋_GB2312" w:hAnsi="方正仿宋_GB2312" w:eastAsia="方正仿宋_GB2312" w:cs="方正仿宋_GB2312"/>
          <w:kern w:val="0"/>
          <w:sz w:val="32"/>
          <w:szCs w:val="32"/>
          <w:lang w:val="en-US" w:eastAsia="zh-CN"/>
        </w:rPr>
        <w:t>1/3</w:t>
      </w:r>
      <w:r>
        <w:rPr>
          <w:rFonts w:hint="eastAsia" w:ascii="方正仿宋_GB2312" w:hAnsi="方正仿宋_GB2312" w:eastAsia="方正仿宋_GB2312" w:cs="方正仿宋_GB2312"/>
          <w:kern w:val="0"/>
          <w:sz w:val="32"/>
          <w:szCs w:val="32"/>
          <w:lang w:val="en-US" w:eastAsia="zh-CN"/>
        </w:rPr>
        <w:t>，不同专业人才培养的需要在规定范围内适当调整，但足额保证党和国家要求的课程和学时。专业课程学时占到总学时的</w:t>
      </w:r>
      <w:r>
        <w:rPr>
          <w:rFonts w:hint="default" w:ascii="方正仿宋_GB2312" w:hAnsi="方正仿宋_GB2312" w:eastAsia="方正仿宋_GB2312" w:cs="方正仿宋_GB2312"/>
          <w:kern w:val="0"/>
          <w:sz w:val="32"/>
          <w:szCs w:val="32"/>
          <w:lang w:val="en-US" w:eastAsia="zh-CN"/>
        </w:rPr>
        <w:t>2/3</w:t>
      </w:r>
      <w:r>
        <w:rPr>
          <w:rFonts w:hint="eastAsia" w:ascii="方正仿宋_GB2312" w:hAnsi="方正仿宋_GB2312" w:eastAsia="方正仿宋_GB2312" w:cs="方正仿宋_GB2312"/>
          <w:kern w:val="0"/>
          <w:sz w:val="32"/>
          <w:szCs w:val="32"/>
          <w:lang w:val="en-US" w:eastAsia="zh-CN"/>
        </w:rPr>
        <w:t>。根据实际情况集中或分阶段安排学生实习实训及岗位实习。实践性教学学时占总学时</w:t>
      </w:r>
      <w:r>
        <w:rPr>
          <w:rFonts w:hint="default" w:ascii="方正仿宋_GB2312" w:hAnsi="方正仿宋_GB2312" w:eastAsia="方正仿宋_GB2312" w:cs="方正仿宋_GB2312"/>
          <w:kern w:val="0"/>
          <w:sz w:val="32"/>
          <w:szCs w:val="32"/>
          <w:lang w:val="en-US" w:eastAsia="zh-CN"/>
        </w:rPr>
        <w:t>50%</w:t>
      </w:r>
      <w:r>
        <w:rPr>
          <w:rFonts w:hint="eastAsia" w:ascii="方正仿宋_GB2312" w:hAnsi="方正仿宋_GB2312" w:eastAsia="方正仿宋_GB2312" w:cs="方正仿宋_GB2312"/>
          <w:kern w:val="0"/>
          <w:sz w:val="32"/>
          <w:szCs w:val="32"/>
          <w:lang w:val="en-US" w:eastAsia="zh-CN"/>
        </w:rPr>
        <w:t>以上。各类选修课程的学时占总学时的</w:t>
      </w:r>
      <w:r>
        <w:rPr>
          <w:rFonts w:hint="default" w:ascii="方正仿宋_GB2312" w:hAnsi="方正仿宋_GB2312" w:eastAsia="方正仿宋_GB2312" w:cs="方正仿宋_GB2312"/>
          <w:kern w:val="0"/>
          <w:sz w:val="32"/>
          <w:szCs w:val="32"/>
          <w:lang w:val="en-US" w:eastAsia="zh-CN"/>
        </w:rPr>
        <w:t>10%</w:t>
      </w:r>
      <w:r>
        <w:rPr>
          <w:rFonts w:hint="eastAsia" w:ascii="方正仿宋_GB2312" w:hAnsi="方正仿宋_GB2312" w:eastAsia="方正仿宋_GB2312" w:cs="方正仿宋_GB2312"/>
          <w:kern w:val="0"/>
          <w:sz w:val="32"/>
          <w:szCs w:val="32"/>
          <w:lang w:val="en-US" w:eastAsia="zh-CN"/>
        </w:rPr>
        <w:t>及以上。</w:t>
      </w:r>
    </w:p>
    <w:p w14:paraId="14BD7ADB">
      <w:pPr>
        <w:keepNext w:val="0"/>
        <w:keepLines w:val="0"/>
        <w:pageBreakBefore w:val="0"/>
        <w:widowControl/>
        <w:numPr>
          <w:ilvl w:val="0"/>
          <w:numId w:val="1"/>
        </w:numPr>
        <w:kinsoku/>
        <w:wordWrap/>
        <w:overflowPunct/>
        <w:topLinePunct w:val="0"/>
        <w:autoSpaceDE/>
        <w:autoSpaceDN/>
        <w:bidi w:val="0"/>
        <w:adjustRightInd/>
        <w:snapToGrid/>
        <w:spacing w:line="570" w:lineRule="exact"/>
        <w:ind w:firstLine="640" w:firstLineChars="200"/>
        <w:textAlignment w:val="auto"/>
        <w:rPr>
          <w:rFonts w:hint="eastAsia" w:ascii="方正楷体_GB2312" w:hAnsi="方正楷体_GB2312" w:eastAsia="方正楷体_GB2312" w:cs="方正楷体_GB2312"/>
          <w:kern w:val="0"/>
          <w:sz w:val="32"/>
          <w:szCs w:val="32"/>
          <w:lang w:val="en-US" w:eastAsia="zh-CN"/>
        </w:rPr>
      </w:pPr>
      <w:r>
        <w:rPr>
          <w:rFonts w:hint="eastAsia" w:ascii="方正楷体_GB2312" w:hAnsi="方正楷体_GB2312" w:eastAsia="方正楷体_GB2312" w:cs="方正楷体_GB2312"/>
          <w:kern w:val="0"/>
          <w:sz w:val="32"/>
          <w:szCs w:val="32"/>
          <w:lang w:val="en-US" w:eastAsia="zh-CN"/>
        </w:rPr>
        <w:t>教材建设</w:t>
      </w:r>
    </w:p>
    <w:p w14:paraId="484245ED">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按照国家规定，经过规范程序选用教材，优先选用国家规划教材和国家优秀教材。专业课程教材体现行业新技术、新规范、新标准、新形态，并通过数字教材、活页式教材等多种方式进行动态更新。</w:t>
      </w:r>
    </w:p>
    <w:p w14:paraId="0B46FA6B">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校切实推进教材建设，规范教材选用，充分发挥教材育人功能，成立了学校教材选用委员会和学校教材管理工作机构。全面领导学校各专业教材选用审查工作；组织征订教材、管理教材、发放教材；制定学校教材管理制度；负责学校师生读物选用审查工作。学校选择使用统编版的思想政治教材、语文教材和历史教材、国规教材、“十四五”规划教材，是提高该校教学质量和知名度的重要保证和前提，杜绝、防止低水平教材流入学校，规范教材选用、编写的程序，明确了各环节的具体要求。</w:t>
      </w:r>
    </w:p>
    <w:p w14:paraId="35C45FB4">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89984" behindDoc="0" locked="0" layoutInCell="1" allowOverlap="1">
            <wp:simplePos x="0" y="0"/>
            <wp:positionH relativeFrom="column">
              <wp:posOffset>69215</wp:posOffset>
            </wp:positionH>
            <wp:positionV relativeFrom="paragraph">
              <wp:posOffset>219075</wp:posOffset>
            </wp:positionV>
            <wp:extent cx="5266690" cy="2658745"/>
            <wp:effectExtent l="0" t="0" r="10160" b="8255"/>
            <wp:wrapNone/>
            <wp:docPr id="31" name="图片 31" descr="9ce71aa0e8b1ef126e1b7a49d4a7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ce71aa0e8b1ef126e1b7a49d4a7bdd"/>
                    <pic:cNvPicPr>
                      <a:picLocks noChangeAspect="1"/>
                    </pic:cNvPicPr>
                  </pic:nvPicPr>
                  <pic:blipFill>
                    <a:blip r:embed="rId18"/>
                    <a:stretch>
                      <a:fillRect/>
                    </a:stretch>
                  </pic:blipFill>
                  <pic:spPr>
                    <a:xfrm>
                      <a:off x="0" y="0"/>
                      <a:ext cx="5266690" cy="2658745"/>
                    </a:xfrm>
                    <a:prstGeom prst="rect">
                      <a:avLst/>
                    </a:prstGeom>
                  </pic:spPr>
                </pic:pic>
              </a:graphicData>
            </a:graphic>
          </wp:anchor>
        </w:drawing>
      </w:r>
    </w:p>
    <w:p w14:paraId="719B2774">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4341FE08">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0B87031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p>
    <w:p w14:paraId="2FD71DC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657BE5F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4CB4320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7762FD3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26751F9">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1" w:name="_Toc31591"/>
      <w:r>
        <w:rPr>
          <w:rFonts w:hint="eastAsia" w:ascii="方正楷体_GB2312" w:hAnsi="方正楷体_GB2312" w:eastAsia="方正楷体_GB2312" w:cs="方正楷体_GB2312"/>
          <w:b w:val="0"/>
          <w:bCs/>
          <w:lang w:val="en-US" w:eastAsia="zh-CN"/>
        </w:rPr>
        <w:t>2.5 教学改革（含数字化教学资源建设）</w:t>
      </w:r>
      <w:bookmarkEnd w:id="11"/>
    </w:p>
    <w:p w14:paraId="5B738E83">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中职课堂教学改革是指对中等职业学校的课堂教学方式、方法和内容进行改进和创新，以提高教学效果、培养学生的实践能力和创新创业精神。协和职校在中职教学方法改革上做了以下策略调整和优化。</w:t>
      </w:r>
    </w:p>
    <w:p w14:paraId="38F965A4">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强调实践性教学：课堂应注重培养学生的实践能力，通过实操和实训，使学生能够真实地面对职业所需的技能和工作环境。为此，可以增加实践性教学的时间和比重，并与行业合作建立实训基地。</w:t>
      </w:r>
    </w:p>
    <w:p w14:paraId="30339B1D">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鼓励参与式学习：课堂应鼓励学生主动参与学习过程，培养学生的自主学习能力和问题解决能力。教师可以采用启发式的教学方法，鼓励学生提出问题、进行探究和实践。</w:t>
      </w:r>
    </w:p>
    <w:p w14:paraId="7B710522">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多元化的评估方式：传统的考试评估方式不一定能全面评价学生的能力，课堂尝试引入多元化的评估方式，如综合测评、展示性评价和项目评估等，更好地反映学生的实际水平和能力。</w:t>
      </w:r>
    </w:p>
    <w:p w14:paraId="1C42FF2F">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中职课堂教学改革需要根据学校实际情况和发展目标进行定制化的计划和策略。</w:t>
      </w:r>
    </w:p>
    <w:p w14:paraId="25CE5DB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数字化教学资源建设：教育数字化是指将教育过程中的教学内容、教学资源、学习活动以及教育管理等方面进行数字化和网络化，利用信息技术和网络技术提升教学效果和管理效率。这包括使用在线学习平台、教育应用程序、数字化教学资源，以及采用数字化的教学方法和教学工具，使教育更加灵活、便捷、个性化，并能提供更多元化的教育选择。</w:t>
      </w:r>
    </w:p>
    <w:p w14:paraId="61CBA610">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magenta"/>
        </w:rPr>
      </w:pPr>
      <w:r>
        <w:rPr>
          <w:rFonts w:hint="eastAsia" w:ascii="方正仿宋_GB2312" w:hAnsi="方正仿宋_GB2312" w:eastAsia="方正仿宋_GB2312" w:cs="方正仿宋_GB2312"/>
          <w:kern w:val="0"/>
          <w:sz w:val="32"/>
          <w:szCs w:val="32"/>
          <w:lang w:val="en-US" w:eastAsia="zh-CN"/>
        </w:rPr>
        <w:t>在教学内容方面，学校使用数字化教学资源、在线课程平台和多媒体课堂来改进教学质量和学生学习体验。在学习活动方面，利用信息课堂进行个性化学习、远程教育以及与学生互动的方式进行深入一步的教学体验研究。在教育管理方面，学校利用信息技术和网络技术提升教育管理效率，使用教材管理系统、学生智慧校园系统等，深入管理学生以及教学管理效率。在教育资源方面，学校利用数字化技术建设和分享教育资源，包括数字化图书馆、在线学习资源库等。</w:t>
      </w:r>
    </w:p>
    <w:p w14:paraId="52BAF36E">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2" w:name="_Toc29697"/>
      <w:r>
        <w:rPr>
          <w:rFonts w:hint="eastAsia" w:ascii="方正楷体_GB2312" w:hAnsi="方正楷体_GB2312" w:eastAsia="方正楷体_GB2312" w:cs="方正楷体_GB2312"/>
          <w:b w:val="0"/>
          <w:bCs/>
          <w:lang w:val="en-US" w:eastAsia="zh-CN"/>
        </w:rPr>
        <w:t>2.6贯通培养</w:t>
      </w:r>
      <w:bookmarkEnd w:id="12"/>
    </w:p>
    <w:p w14:paraId="57C60022">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仿宋" w:hAnsi="仿宋" w:eastAsia="仿宋"/>
          <w:sz w:val="32"/>
          <w:szCs w:val="32"/>
        </w:rPr>
      </w:pPr>
      <w:r>
        <w:rPr>
          <w:rFonts w:hint="eastAsia" w:ascii="仿宋" w:hAnsi="仿宋" w:eastAsia="仿宋"/>
          <w:sz w:val="32"/>
          <w:szCs w:val="32"/>
        </w:rPr>
        <w:t>学校大力推进中高职衔接贯通培养，加强与高职学校的合作，为学生提供更加顺畅的升学通道。学校先后成为：陕西邮电职业技术学院、陕西财经职业技术学院、宝鸡职业技术学院、陕西工业职业技术大学、咸阳职业技术学院、陕西农林职业技术大学、陕西能源职业技术学院、西安航空职业技术学院、汉中职业技术学院等高职院校的优质生源基地。</w:t>
      </w:r>
    </w:p>
    <w:p w14:paraId="2BD4593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3" w:name="_Toc21280"/>
      <w:r>
        <w:rPr>
          <w:rFonts w:hint="eastAsia" w:ascii="方正楷体_GB2312" w:hAnsi="方正楷体_GB2312" w:eastAsia="方正楷体_GB2312" w:cs="方正楷体_GB2312"/>
          <w:b w:val="0"/>
          <w:bCs/>
          <w:lang w:val="en-US" w:eastAsia="zh-CN"/>
        </w:rPr>
        <w:t>2.7科教融汇</w:t>
      </w:r>
      <w:bookmarkEnd w:id="13"/>
    </w:p>
    <w:p w14:paraId="4CF594CD">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eastAsia="zh-CN" w:bidi="ar"/>
        </w:rPr>
        <w:t>学校注重科教融汇，加强与企业、科研机构的合作，开展产学研合作，推动科研成果转化和应用。</w:t>
      </w:r>
      <w:r>
        <w:rPr>
          <w:rFonts w:hint="eastAsia" w:ascii="方正仿宋_GB2312" w:hAnsi="方正仿宋_GB2312" w:eastAsia="方正仿宋_GB2312" w:cs="方正仿宋_GB2312"/>
          <w:kern w:val="0"/>
          <w:sz w:val="32"/>
          <w:szCs w:val="32"/>
          <w:lang w:val="en-US" w:eastAsia="zh-CN" w:bidi="ar"/>
        </w:rPr>
        <w:t>2025年学校与陕西农林职业技术大学、西安航空职业技术学院、</w:t>
      </w:r>
      <w:r>
        <w:rPr>
          <w:rFonts w:hint="eastAsia" w:ascii="仿宋_GB2312" w:hAnsi="仿宋_GB2312" w:eastAsia="仿宋_GB2312" w:cs="仿宋_GB2312"/>
          <w:sz w:val="32"/>
          <w:szCs w:val="32"/>
          <w:lang w:val="en-US" w:eastAsia="zh-CN"/>
        </w:rPr>
        <w:t>陕西能源职业技术学院建立了长期稳定的合作联系，</w:t>
      </w:r>
      <w:r>
        <w:rPr>
          <w:rFonts w:hint="eastAsia" w:ascii="方正仿宋_GB2312" w:hAnsi="方正仿宋_GB2312" w:eastAsia="方正仿宋_GB2312" w:cs="方正仿宋_GB2312"/>
          <w:kern w:val="0"/>
          <w:sz w:val="32"/>
          <w:szCs w:val="32"/>
          <w:lang w:eastAsia="zh-CN" w:bidi="ar"/>
        </w:rPr>
        <w:t>积极探索中高职衔接的创新模式与实践路径。</w:t>
      </w:r>
    </w:p>
    <w:p w14:paraId="050C31C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92032" behindDoc="0" locked="0" layoutInCell="1" allowOverlap="1">
            <wp:simplePos x="0" y="0"/>
            <wp:positionH relativeFrom="column">
              <wp:posOffset>2788920</wp:posOffset>
            </wp:positionH>
            <wp:positionV relativeFrom="paragraph">
              <wp:posOffset>126365</wp:posOffset>
            </wp:positionV>
            <wp:extent cx="2381885" cy="1474470"/>
            <wp:effectExtent l="0" t="0" r="18415" b="11430"/>
            <wp:wrapNone/>
            <wp:docPr id="34" name="图片 34" descr="C:/Users/Administrator/Desktop/授牌2.png授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授牌2.png授牌2"/>
                    <pic:cNvPicPr>
                      <a:picLocks noChangeAspect="1"/>
                    </pic:cNvPicPr>
                  </pic:nvPicPr>
                  <pic:blipFill>
                    <a:blip r:embed="rId19"/>
                    <a:srcRect t="3586" b="3586"/>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91008" behindDoc="0" locked="0" layoutInCell="1" allowOverlap="1">
            <wp:simplePos x="0" y="0"/>
            <wp:positionH relativeFrom="column">
              <wp:posOffset>99695</wp:posOffset>
            </wp:positionH>
            <wp:positionV relativeFrom="paragraph">
              <wp:posOffset>126365</wp:posOffset>
            </wp:positionV>
            <wp:extent cx="2381885" cy="1474470"/>
            <wp:effectExtent l="0" t="0" r="18415" b="11430"/>
            <wp:wrapNone/>
            <wp:docPr id="32" name="图片 32" descr="C:/Users/Administrator/Desktop/授牌1.png授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授牌1.png授牌1"/>
                    <pic:cNvPicPr>
                      <a:picLocks noChangeAspect="1"/>
                    </pic:cNvPicPr>
                  </pic:nvPicPr>
                  <pic:blipFill>
                    <a:blip r:embed="rId20"/>
                    <a:srcRect t="3586" b="3586"/>
                    <a:stretch>
                      <a:fillRect/>
                    </a:stretch>
                  </pic:blipFill>
                  <pic:spPr>
                    <a:xfrm>
                      <a:off x="0" y="0"/>
                      <a:ext cx="2381885" cy="1474470"/>
                    </a:xfrm>
                    <a:prstGeom prst="rect">
                      <a:avLst/>
                    </a:prstGeom>
                  </pic:spPr>
                </pic:pic>
              </a:graphicData>
            </a:graphic>
          </wp:anchor>
        </w:drawing>
      </w:r>
    </w:p>
    <w:p w14:paraId="3C19FDF2">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24440411">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455801F5">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5133D8AD">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2312" w:hAnsi="方正仿宋_GB2312" w:eastAsia="方正仿宋_GB2312" w:cs="方正仿宋_GB2312"/>
          <w:kern w:val="0"/>
          <w:sz w:val="32"/>
          <w:szCs w:val="32"/>
          <w:lang w:val="en-US" w:eastAsia="zh-CN" w:bidi="ar"/>
        </w:rPr>
      </w:pPr>
    </w:p>
    <w:p w14:paraId="2549705F">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陕西农林职业技术大学授牌   西安航空职业技术学院授牌</w:t>
      </w:r>
    </w:p>
    <w:p w14:paraId="7326B21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93056" behindDoc="0" locked="0" layoutInCell="1" allowOverlap="1">
            <wp:simplePos x="0" y="0"/>
            <wp:positionH relativeFrom="column">
              <wp:posOffset>99695</wp:posOffset>
            </wp:positionH>
            <wp:positionV relativeFrom="paragraph">
              <wp:posOffset>311150</wp:posOffset>
            </wp:positionV>
            <wp:extent cx="2381885" cy="1474470"/>
            <wp:effectExtent l="0" t="0" r="18415" b="11430"/>
            <wp:wrapNone/>
            <wp:docPr id="37" name="图片 37" descr="C:/Users/Administrator/Desktop/授牌3.png授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授牌3.png授牌3"/>
                    <pic:cNvPicPr>
                      <a:picLocks noChangeAspect="1"/>
                    </pic:cNvPicPr>
                  </pic:nvPicPr>
                  <pic:blipFill>
                    <a:blip r:embed="rId21"/>
                    <a:srcRect t="3586" b="3586"/>
                    <a:stretch>
                      <a:fillRect/>
                    </a:stretch>
                  </pic:blipFill>
                  <pic:spPr>
                    <a:xfrm>
                      <a:off x="0" y="0"/>
                      <a:ext cx="2381885" cy="1474470"/>
                    </a:xfrm>
                    <a:prstGeom prst="rect">
                      <a:avLst/>
                    </a:prstGeom>
                  </pic:spPr>
                </pic:pic>
              </a:graphicData>
            </a:graphic>
          </wp:anchor>
        </w:drawing>
      </w:r>
    </w:p>
    <w:p w14:paraId="586DDB2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39311FC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743B483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2D96B735">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楷体_GB2312" w:hAnsi="方正楷体_GB2312" w:eastAsia="方正楷体_GB2312" w:cs="方正楷体_GB2312"/>
          <w:kern w:val="0"/>
          <w:sz w:val="32"/>
          <w:szCs w:val="32"/>
          <w:lang w:eastAsia="zh-CN" w:bidi="ar"/>
        </w:rPr>
      </w:pPr>
    </w:p>
    <w:p w14:paraId="53CB10D9">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陕西能源职业技术学院授牌</w:t>
      </w:r>
    </w:p>
    <w:p w14:paraId="45DCA6FB">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4" w:name="_Toc14890"/>
      <w:r>
        <w:rPr>
          <w:rFonts w:hint="eastAsia" w:ascii="方正楷体_GB2312" w:hAnsi="方正楷体_GB2312" w:eastAsia="方正楷体_GB2312" w:cs="方正楷体_GB2312"/>
          <w:b w:val="0"/>
          <w:bCs/>
          <w:lang w:val="en-US" w:eastAsia="zh-CN"/>
        </w:rPr>
        <w:t>2.8创新创业</w:t>
      </w:r>
      <w:bookmarkEnd w:id="14"/>
    </w:p>
    <w:p w14:paraId="36ACC31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r>
        <w:rPr>
          <w:rFonts w:hint="eastAsia" w:ascii="方正仿宋_GB2312" w:hAnsi="方正仿宋_GB2312" w:eastAsia="方正仿宋_GB2312" w:cs="方正仿宋_GB2312"/>
          <w:kern w:val="0"/>
          <w:sz w:val="32"/>
          <w:szCs w:val="32"/>
          <w:highlight w:val="none"/>
          <w:lang w:eastAsia="zh-CN" w:bidi="ar"/>
        </w:rPr>
        <w:t>以“创新创业筑基础、升学提升强内核、技能实战固根本”为核心，聚焦护理、幼儿保育、电子商务、绘画、市场营销、口腔修复工艺、计算机平面设计七大专业，构建“创新创业+技能培养+升学备考”三位一体融合体系，既通过创新创业实践锤炼岗位核心能力，又精准对接中职升学路径（职教高考、</w:t>
      </w:r>
      <w:r>
        <w:rPr>
          <w:rFonts w:hint="eastAsia" w:ascii="方正仿宋_GB2312" w:hAnsi="方正仿宋_GB2312" w:eastAsia="方正仿宋_GB2312" w:cs="方正仿宋_GB2312"/>
          <w:kern w:val="0"/>
          <w:sz w:val="32"/>
          <w:szCs w:val="32"/>
          <w:highlight w:val="none"/>
          <w:lang w:val="en-US" w:eastAsia="zh-CN" w:bidi="ar"/>
        </w:rPr>
        <w:t>高职</w:t>
      </w:r>
      <w:r>
        <w:rPr>
          <w:rFonts w:hint="eastAsia" w:ascii="方正仿宋_GB2312" w:hAnsi="方正仿宋_GB2312" w:eastAsia="方正仿宋_GB2312" w:cs="方正仿宋_GB2312"/>
          <w:kern w:val="0"/>
          <w:sz w:val="32"/>
          <w:szCs w:val="32"/>
          <w:highlight w:val="none"/>
          <w:lang w:eastAsia="zh-CN" w:bidi="ar"/>
        </w:rPr>
        <w:t>单</w:t>
      </w:r>
      <w:r>
        <w:rPr>
          <w:rFonts w:hint="eastAsia" w:ascii="方正仿宋_GB2312" w:hAnsi="方正仿宋_GB2312" w:eastAsia="方正仿宋_GB2312" w:cs="方正仿宋_GB2312"/>
          <w:kern w:val="0"/>
          <w:sz w:val="32"/>
          <w:szCs w:val="32"/>
          <w:highlight w:val="none"/>
          <w:lang w:val="en-US" w:eastAsia="zh-CN" w:bidi="ar"/>
        </w:rPr>
        <w:t>招</w:t>
      </w:r>
      <w:r>
        <w:rPr>
          <w:rFonts w:hint="eastAsia" w:ascii="方正仿宋_GB2312" w:hAnsi="方正仿宋_GB2312" w:eastAsia="方正仿宋_GB2312" w:cs="方正仿宋_GB2312"/>
          <w:kern w:val="0"/>
          <w:sz w:val="32"/>
          <w:szCs w:val="32"/>
          <w:highlight w:val="none"/>
          <w:lang w:eastAsia="zh-CN" w:bidi="ar"/>
        </w:rPr>
        <w:t>等），实现“学历提升不脱节、技能精进不松懈、创新能力有突破”的培养目标，为学生搭建“就业有底气、升学有方向、创业有潜力”的成长通道。</w:t>
      </w:r>
    </w:p>
    <w:p w14:paraId="6EB1321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5" w:name="_Toc6732"/>
      <w:r>
        <w:rPr>
          <w:rFonts w:hint="eastAsia" w:ascii="方正楷体_GB2312" w:hAnsi="方正楷体_GB2312" w:eastAsia="方正楷体_GB2312" w:cs="方正楷体_GB2312"/>
          <w:b w:val="0"/>
          <w:bCs/>
          <w:lang w:val="en-US" w:eastAsia="zh-CN"/>
        </w:rPr>
        <w:t>2.9 技能大赛</w:t>
      </w:r>
      <w:bookmarkEnd w:id="15"/>
    </w:p>
    <w:p w14:paraId="661B999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技能大赛</w:t>
      </w:r>
      <w:r>
        <w:rPr>
          <w:rFonts w:hint="eastAsia" w:ascii="方正仿宋_GB2312" w:hAnsi="方正仿宋_GB2312" w:eastAsia="方正仿宋_GB2312" w:cs="方正仿宋_GB2312"/>
          <w:kern w:val="0"/>
          <w:sz w:val="32"/>
          <w:szCs w:val="32"/>
          <w:lang w:val="en-US" w:eastAsia="zh-CN" w:bidi="ar"/>
        </w:rPr>
        <w:t>是</w:t>
      </w:r>
      <w:r>
        <w:rPr>
          <w:rFonts w:hint="eastAsia" w:ascii="方正仿宋_GB2312" w:hAnsi="方正仿宋_GB2312" w:eastAsia="方正仿宋_GB2312" w:cs="方正仿宋_GB2312"/>
          <w:kern w:val="0"/>
          <w:sz w:val="32"/>
          <w:szCs w:val="32"/>
          <w:lang w:eastAsia="zh-CN" w:bidi="ar"/>
        </w:rPr>
        <w:t>学校教学质量和学生技能水平的体现，也是学校积极参与社会竞争、推动职业教育发展的重要举措。</w:t>
      </w:r>
    </w:p>
    <w:p w14:paraId="248E912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学</w:t>
      </w:r>
      <w:r>
        <w:rPr>
          <w:rFonts w:hint="eastAsia" w:ascii="方正仿宋_GB2312" w:hAnsi="方正仿宋_GB2312" w:eastAsia="方正仿宋_GB2312" w:cs="方正仿宋_GB2312"/>
          <w:kern w:val="0"/>
          <w:sz w:val="32"/>
          <w:szCs w:val="32"/>
          <w:lang w:eastAsia="zh-CN" w:bidi="ar"/>
        </w:rPr>
        <w:t>校高度重视技能大赛的参与和组织工作，积极鼓励学生参加各类技能竞赛，以检验和提升他们的专业技能水平。学校不仅组织校内</w:t>
      </w:r>
      <w:r>
        <w:rPr>
          <w:rFonts w:hint="eastAsia" w:ascii="方正仿宋_GB2312" w:hAnsi="方正仿宋_GB2312" w:eastAsia="方正仿宋_GB2312" w:cs="方正仿宋_GB2312"/>
          <w:kern w:val="0"/>
          <w:sz w:val="32"/>
          <w:szCs w:val="32"/>
          <w:lang w:val="en-US" w:eastAsia="zh-CN" w:bidi="ar"/>
        </w:rPr>
        <w:t>技能</w:t>
      </w:r>
      <w:r>
        <w:rPr>
          <w:rFonts w:hint="eastAsia" w:ascii="方正仿宋_GB2312" w:hAnsi="方正仿宋_GB2312" w:eastAsia="方正仿宋_GB2312" w:cs="方正仿宋_GB2312"/>
          <w:kern w:val="0"/>
          <w:sz w:val="32"/>
          <w:szCs w:val="32"/>
          <w:lang w:eastAsia="zh-CN" w:bidi="ar"/>
        </w:rPr>
        <w:t>大赛，还积极推荐优秀学生参加市级、省级乃至国家级技能大赛，为学生提供展示自我、挑战自我的平台。</w:t>
      </w:r>
    </w:p>
    <w:p w14:paraId="484B83F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具体获奖情况如下：</w:t>
      </w:r>
    </w:p>
    <w:p w14:paraId="4B66AE11">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仿宋_GB2312" w:hAnsi="仿宋_GB2312" w:eastAsia="仿宋_GB2312" w:cs="仿宋_GB2312"/>
          <w:sz w:val="32"/>
          <w:szCs w:val="32"/>
          <w:lang w:val="en-US" w:eastAsia="zh-CN"/>
        </w:rPr>
        <w:t>2025年</w:t>
      </w:r>
      <w:r>
        <w:rPr>
          <w:rFonts w:hint="eastAsia" w:ascii="方正仿宋_GB2312" w:hAnsi="方正仿宋_GB2312" w:eastAsia="方正仿宋_GB2312" w:cs="方正仿宋_GB2312"/>
          <w:kern w:val="0"/>
          <w:sz w:val="32"/>
          <w:szCs w:val="32"/>
          <w:lang w:eastAsia="zh-CN" w:bidi="ar"/>
        </w:rPr>
        <w:t>4月全省长安杯安全知识竞赛中，咸阳协和职业学校的</w:t>
      </w:r>
      <w:r>
        <w:rPr>
          <w:rFonts w:hint="eastAsia" w:ascii="方正仿宋_GB2312" w:hAnsi="方正仿宋_GB2312" w:eastAsia="方正仿宋_GB2312" w:cs="方正仿宋_GB2312"/>
          <w:kern w:val="0"/>
          <w:sz w:val="32"/>
          <w:szCs w:val="32"/>
          <w:lang w:val="en-US" w:eastAsia="zh-CN" w:bidi="ar"/>
        </w:rPr>
        <w:t>影视</w:t>
      </w:r>
      <w:r>
        <w:rPr>
          <w:rFonts w:hint="eastAsia" w:ascii="方正仿宋_GB2312" w:hAnsi="方正仿宋_GB2312" w:eastAsia="方正仿宋_GB2312" w:cs="方正仿宋_GB2312"/>
          <w:kern w:val="0"/>
          <w:sz w:val="32"/>
          <w:szCs w:val="32"/>
          <w:lang w:eastAsia="zh-CN" w:bidi="ar"/>
        </w:rPr>
        <w:t>作品《</w:t>
      </w:r>
      <w:r>
        <w:rPr>
          <w:rFonts w:hint="eastAsia" w:ascii="方正仿宋_GB2312" w:hAnsi="方正仿宋_GB2312" w:eastAsia="方正仿宋_GB2312" w:cs="方正仿宋_GB2312"/>
          <w:kern w:val="0"/>
          <w:sz w:val="32"/>
          <w:szCs w:val="32"/>
          <w:lang w:val="en-US" w:eastAsia="zh-CN" w:bidi="ar"/>
        </w:rPr>
        <w:t>契约</w:t>
      </w:r>
      <w:r>
        <w:rPr>
          <w:rFonts w:hint="eastAsia" w:ascii="方正仿宋_GB2312" w:hAnsi="方正仿宋_GB2312" w:eastAsia="方正仿宋_GB2312" w:cs="方正仿宋_GB2312"/>
          <w:kern w:val="0"/>
          <w:sz w:val="32"/>
          <w:szCs w:val="32"/>
          <w:lang w:eastAsia="zh-CN" w:bidi="ar"/>
        </w:rPr>
        <w:t>》荣获</w:t>
      </w:r>
      <w:r>
        <w:rPr>
          <w:rFonts w:hint="eastAsia" w:ascii="方正仿宋_GB2312" w:hAnsi="方正仿宋_GB2312" w:eastAsia="方正仿宋_GB2312" w:cs="方正仿宋_GB2312"/>
          <w:kern w:val="0"/>
          <w:sz w:val="32"/>
          <w:szCs w:val="32"/>
          <w:lang w:val="en-US" w:eastAsia="zh-CN" w:bidi="ar"/>
        </w:rPr>
        <w:t>省三等奖。</w:t>
      </w:r>
    </w:p>
    <w:p w14:paraId="6E546CF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519347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7AE26C5F">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r>
        <w:rPr>
          <w:rFonts w:hint="default" w:ascii="方正仿宋_GB2312" w:hAnsi="方正仿宋_GB2312" w:eastAsia="方正仿宋_GB2312" w:cs="方正仿宋_GB2312"/>
          <w:kern w:val="0"/>
          <w:sz w:val="32"/>
          <w:szCs w:val="32"/>
          <w:lang w:val="en-US" w:eastAsia="zh-CN" w:bidi="ar"/>
        </w:rPr>
        <w:drawing>
          <wp:anchor distT="0" distB="0" distL="114300" distR="114300" simplePos="0" relativeHeight="251694080" behindDoc="0" locked="0" layoutInCell="1" allowOverlap="0">
            <wp:simplePos x="0" y="0"/>
            <wp:positionH relativeFrom="column">
              <wp:posOffset>-45720</wp:posOffset>
            </wp:positionH>
            <wp:positionV relativeFrom="paragraph">
              <wp:posOffset>68580</wp:posOffset>
            </wp:positionV>
            <wp:extent cx="5266690" cy="3569335"/>
            <wp:effectExtent l="0" t="0" r="10160" b="12065"/>
            <wp:wrapNone/>
            <wp:docPr id="38" name="图片 38" descr="b86c1d62a0d91837f8b83a7da6bd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c1d62a0d91837f8b83a7da6bdeff"/>
                    <pic:cNvPicPr>
                      <a:picLocks noChangeAspect="1"/>
                    </pic:cNvPicPr>
                  </pic:nvPicPr>
                  <pic:blipFill>
                    <a:blip r:embed="rId22"/>
                    <a:stretch>
                      <a:fillRect/>
                    </a:stretch>
                  </pic:blipFill>
                  <pic:spPr>
                    <a:xfrm>
                      <a:off x="0" y="0"/>
                      <a:ext cx="5266690" cy="3569335"/>
                    </a:xfrm>
                    <a:prstGeom prst="rect">
                      <a:avLst/>
                    </a:prstGeom>
                  </pic:spPr>
                </pic:pic>
              </a:graphicData>
            </a:graphic>
          </wp:anchor>
        </w:drawing>
      </w:r>
    </w:p>
    <w:p w14:paraId="57F01E9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2FF8515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766A53A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106BF3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EFFAC8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35E830A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0C66AF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4D7E2A3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3FD4AAC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6030104E">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6" w:name="_Toc4827"/>
      <w:r>
        <w:rPr>
          <w:rFonts w:hint="eastAsia" w:ascii="方正楷体_GB2312" w:hAnsi="方正楷体_GB2312" w:eastAsia="方正楷体_GB2312" w:cs="方正楷体_GB2312"/>
          <w:b w:val="0"/>
          <w:bCs/>
          <w:lang w:val="en-US" w:eastAsia="zh-CN"/>
        </w:rPr>
        <w:t>2.10 就业质量</w:t>
      </w:r>
      <w:bookmarkEnd w:id="16"/>
    </w:p>
    <w:p w14:paraId="7C6D787C">
      <w:pPr>
        <w:pageBreakBefore w:val="0"/>
        <w:kinsoku/>
        <w:wordWrap/>
        <w:overflowPunct/>
        <w:topLinePunct w:val="0"/>
        <w:autoSpaceDE/>
        <w:autoSpaceDN/>
        <w:bidi w:val="0"/>
        <w:adjustRightInd/>
        <w:snapToGrid/>
        <w:spacing w:line="570" w:lineRule="exact"/>
        <w:ind w:firstLine="640" w:firstLineChars="200"/>
        <w:textAlignment w:val="auto"/>
        <w:rPr>
          <w:rFonts w:hint="default" w:ascii="方正仿宋_GB2312" w:hAnsi="方正仿宋_GB2312" w:eastAsia="方正仿宋_GB2312" w:cs="方正仿宋_GB2312"/>
          <w:kern w:val="0"/>
          <w:sz w:val="32"/>
          <w:szCs w:val="32"/>
          <w:lang w:val="en-US" w:eastAsia="zh-CN" w:bidi="ar"/>
        </w:rPr>
      </w:pPr>
      <w:r>
        <w:rPr>
          <w:rFonts w:hint="eastAsia" w:ascii="仿宋" w:hAnsi="仿宋" w:eastAsia="仿宋"/>
          <w:sz w:val="32"/>
          <w:szCs w:val="32"/>
        </w:rPr>
        <w:t>2025</w:t>
      </w:r>
      <w:r>
        <w:rPr>
          <w:rFonts w:hint="eastAsia" w:ascii="仿宋" w:hAnsi="仿宋" w:eastAsia="仿宋"/>
          <w:sz w:val="32"/>
          <w:szCs w:val="32"/>
          <w:lang w:eastAsia="zh-CN"/>
        </w:rPr>
        <w:t>毕业</w:t>
      </w:r>
      <w:r>
        <w:rPr>
          <w:rFonts w:hint="eastAsia" w:ascii="仿宋" w:hAnsi="仿宋" w:eastAsia="仿宋"/>
          <w:sz w:val="32"/>
          <w:szCs w:val="32"/>
        </w:rPr>
        <w:t>学生共计370人，毕业率100%。毕业生人数较上一年</w:t>
      </w:r>
      <w:bookmarkStart w:id="17" w:name="OLE_LINK2"/>
      <w:bookmarkStart w:id="18" w:name="OLE_LINK1"/>
      <w:r>
        <w:rPr>
          <w:rFonts w:hint="eastAsia" w:ascii="仿宋" w:hAnsi="仿宋" w:eastAsia="仿宋"/>
          <w:sz w:val="32"/>
          <w:szCs w:val="32"/>
        </w:rPr>
        <w:t>增加</w:t>
      </w:r>
      <w:bookmarkEnd w:id="17"/>
      <w:bookmarkEnd w:id="18"/>
      <w:r>
        <w:rPr>
          <w:rFonts w:hint="eastAsia" w:ascii="仿宋" w:hAnsi="仿宋" w:eastAsia="仿宋"/>
          <w:sz w:val="32"/>
          <w:szCs w:val="32"/>
        </w:rPr>
        <w:t>185人，增加50%。毕业生去向落实率100%，持续保持高位。毕业生中学生通过参加高考、职教单招及分类考试升入高职院校学习深造学生302人，选择直接就业人数61人，升学就业率98.11%。学校培养学生多元化发展，注重学生毕业升学的同时，帮助选择就业的学生顺利就业。选择就业的学生能较快适应岗位，选择升学的学生备考目标明确，</w:t>
      </w:r>
      <w:bookmarkStart w:id="19" w:name="OLE_LINK11"/>
      <w:bookmarkStart w:id="20" w:name="OLE_LINK12"/>
      <w:r>
        <w:rPr>
          <w:rFonts w:hint="eastAsia" w:ascii="仿宋" w:hAnsi="仿宋" w:eastAsia="仿宋"/>
          <w:sz w:val="32"/>
          <w:szCs w:val="32"/>
        </w:rPr>
        <w:t>学习氛围</w:t>
      </w:r>
      <w:bookmarkEnd w:id="19"/>
      <w:bookmarkEnd w:id="20"/>
      <w:r>
        <w:rPr>
          <w:rFonts w:hint="eastAsia" w:ascii="仿宋" w:hAnsi="仿宋" w:eastAsia="仿宋"/>
          <w:sz w:val="32"/>
          <w:szCs w:val="32"/>
        </w:rPr>
        <w:t>积极。</w:t>
      </w:r>
    </w:p>
    <w:p w14:paraId="2FD38034">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21" w:name="_Toc5183"/>
      <w:r>
        <w:rPr>
          <w:rFonts w:hint="eastAsia"/>
          <w:b w:val="0"/>
          <w:bCs/>
          <w:lang w:val="en-US" w:eastAsia="zh-CN"/>
        </w:rPr>
        <w:t>三、服务贡献</w:t>
      </w:r>
      <w:bookmarkEnd w:id="21"/>
    </w:p>
    <w:p w14:paraId="074FB982">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2" w:name="_Toc27917"/>
      <w:r>
        <w:rPr>
          <w:rFonts w:hint="eastAsia" w:ascii="方正楷体_GB2312" w:hAnsi="方正楷体_GB2312" w:eastAsia="方正楷体_GB2312" w:cs="方正楷体_GB2312"/>
          <w:b w:val="0"/>
          <w:bCs/>
          <w:lang w:val="en-US" w:eastAsia="zh-CN"/>
        </w:rPr>
        <w:t>3.1 服务行业企业</w:t>
      </w:r>
      <w:bookmarkEnd w:id="22"/>
    </w:p>
    <w:p w14:paraId="51AF5069">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始终以服务行业发展、助力企业升级为己任，主动对接企业需求，构建全方位、多层次的校企合作服务体系，通过人才输送、技术支持、研发协同、文化交融与实习实训五大维度深度赋能，为企业高质量发展注入强劲动力。</w:t>
      </w:r>
    </w:p>
    <w:p w14:paraId="47CFC57B">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在人才输送方面，学校紧扣企业岗位核心需求。通过与企业建立常态化合作机制，精准捕捉市场动态与行业人才标准，动态优化人才培养方案，持续强化教学内容与岗位需求的契合度，显著提升人才培养的针对性与实践价值，为企业人才队伍建设提供稳定可靠的支撑。</w:t>
      </w:r>
    </w:p>
    <w:p w14:paraId="2FACAF67">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在技术支持方面，学校充分发挥自身教育资源禀赋与专业技术优势，为企业提供定制化技术咨询、员工技能提升培训等专项服务。精准匹配师资力量与</w:t>
      </w:r>
      <w:r>
        <w:rPr>
          <w:rFonts w:hint="eastAsia" w:ascii="方正仿宋_GB2312" w:hAnsi="方正仿宋_GB2312" w:eastAsia="方正仿宋_GB2312" w:cs="方正仿宋_GB2312"/>
          <w:kern w:val="0"/>
          <w:sz w:val="32"/>
          <w:szCs w:val="32"/>
          <w:lang w:val="en-US" w:eastAsia="zh-CN" w:bidi="ar"/>
        </w:rPr>
        <w:t>专业</w:t>
      </w:r>
      <w:r>
        <w:rPr>
          <w:rFonts w:hint="default" w:ascii="方正仿宋_GB2312" w:hAnsi="方正仿宋_GB2312" w:eastAsia="方正仿宋_GB2312" w:cs="方正仿宋_GB2312"/>
          <w:kern w:val="0"/>
          <w:sz w:val="32"/>
          <w:szCs w:val="32"/>
          <w:lang w:val="en-US" w:eastAsia="zh-CN" w:bidi="ar"/>
        </w:rPr>
        <w:t>资源，助力企业提升应用能力，为企业创新发展筑牢根基。</w:t>
      </w:r>
    </w:p>
    <w:p w14:paraId="4B74BCB1">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研发合作方面，学校将深化与企业的科研协同，联合开展技术研发、项目攻关与创新实践。依托校企双方优势资源，搭建产学研一体化合作平台，实现人才、技术、设备等资源的高效共享与优势互补，加速科技成果向现实生产力转化，共同破解行业技术瓶颈，提升企业核心竞争力。</w:t>
      </w:r>
    </w:p>
    <w:p w14:paraId="73B52BB3">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在文化交流方面，学校积极推动校企文化双向互动与深度融合。通过组织企业专家进校园、师生走进企业等多元活动，助力企业文化建设与品牌塑造；同时，深入</w:t>
      </w:r>
      <w:r>
        <w:rPr>
          <w:rFonts w:hint="eastAsia" w:ascii="方正仿宋_GB2312" w:hAnsi="方正仿宋_GB2312" w:eastAsia="方正仿宋_GB2312" w:cs="方正仿宋_GB2312"/>
          <w:kern w:val="0"/>
          <w:sz w:val="32"/>
          <w:szCs w:val="32"/>
          <w:lang w:val="en-US" w:eastAsia="zh-CN" w:bidi="ar"/>
        </w:rPr>
        <w:t>学习</w:t>
      </w:r>
      <w:r>
        <w:rPr>
          <w:rFonts w:hint="default" w:ascii="方正仿宋_GB2312" w:hAnsi="方正仿宋_GB2312" w:eastAsia="方正仿宋_GB2312" w:cs="方正仿宋_GB2312"/>
          <w:kern w:val="0"/>
          <w:sz w:val="32"/>
          <w:szCs w:val="32"/>
          <w:lang w:val="en-US" w:eastAsia="zh-CN" w:bidi="ar"/>
        </w:rPr>
        <w:t>企业核心价值观与行业发展趋势，将企业文化元素融入人才培养全过程，为精准对接市场需求、优化育人方向提供有力指引。</w:t>
      </w:r>
    </w:p>
    <w:p w14:paraId="623D325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在实习实训方面，学校与企业</w:t>
      </w:r>
      <w:r>
        <w:rPr>
          <w:rFonts w:hint="eastAsia" w:ascii="方正仿宋_GB2312" w:hAnsi="方正仿宋_GB2312" w:eastAsia="方正仿宋_GB2312" w:cs="方正仿宋_GB2312"/>
          <w:kern w:val="0"/>
          <w:sz w:val="32"/>
          <w:szCs w:val="32"/>
          <w:lang w:val="en-US" w:eastAsia="zh-CN" w:bidi="ar"/>
        </w:rPr>
        <w:t>将共同设立实习实训项目</w:t>
      </w:r>
      <w:r>
        <w:rPr>
          <w:rFonts w:hint="default" w:ascii="方正仿宋_GB2312" w:hAnsi="方正仿宋_GB2312" w:eastAsia="方正仿宋_GB2312" w:cs="方正仿宋_GB2312"/>
          <w:kern w:val="0"/>
          <w:sz w:val="32"/>
          <w:szCs w:val="32"/>
          <w:lang w:val="en-US" w:eastAsia="zh-CN" w:bidi="ar"/>
        </w:rPr>
        <w:t>，为学生打造沉浸式职业实践平台。通过 “岗位实战 + 导师指导” 的培养模式，让学生深度参与企业真实工作流程，近距离感受企业文化氛围，在实践中锤炼职业技能、提升职业素养，为企业储备兼具理论基础与实战能力的复合型人才。</w:t>
      </w:r>
    </w:p>
    <w:p w14:paraId="54D21F64">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3" w:name="_Toc12580"/>
      <w:r>
        <w:rPr>
          <w:rFonts w:hint="eastAsia" w:ascii="方正楷体_GB2312" w:hAnsi="方正楷体_GB2312" w:eastAsia="方正楷体_GB2312" w:cs="方正楷体_GB2312"/>
          <w:b w:val="0"/>
          <w:bCs/>
          <w:lang w:val="en-US" w:eastAsia="zh-CN"/>
        </w:rPr>
        <w:t>3.2 服务地方发展</w:t>
      </w:r>
      <w:bookmarkEnd w:id="23"/>
    </w:p>
    <w:p w14:paraId="30BD8BC8">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咸阳协和职业学校始终锚定地方发展战略，深耕本土需求，通过精准开设地方特色专业、常态化开展定制化技能培训等多元举措，持续为地方经济社会高质量发展输送高素质技能人才</w:t>
      </w:r>
      <w:r>
        <w:rPr>
          <w:rFonts w:hint="eastAsia" w:ascii="方正仿宋_GB2312" w:hAnsi="方正仿宋_GB2312" w:eastAsia="方正仿宋_GB2312" w:cs="方正仿宋_GB2312"/>
          <w:kern w:val="0"/>
          <w:sz w:val="32"/>
          <w:szCs w:val="32"/>
          <w:lang w:val="en-US" w:eastAsia="zh-CN" w:bidi="ar"/>
        </w:rPr>
        <w:t>。</w:t>
      </w:r>
    </w:p>
    <w:p w14:paraId="07877268">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技术推广：</w:t>
      </w:r>
      <w:r>
        <w:rPr>
          <w:rFonts w:hint="default" w:ascii="方正仿宋_GB2312" w:hAnsi="方正仿宋_GB2312" w:eastAsia="方正仿宋_GB2312" w:cs="方正仿宋_GB2312"/>
          <w:kern w:val="0"/>
          <w:sz w:val="32"/>
          <w:szCs w:val="32"/>
          <w:lang w:val="en-US" w:eastAsia="zh-CN" w:bidi="ar"/>
        </w:rPr>
        <w:t>学校坚持以实践育人为核心，持续强化</w:t>
      </w:r>
      <w:r>
        <w:rPr>
          <w:rFonts w:hint="eastAsia" w:ascii="方正仿宋_GB2312" w:hAnsi="方正仿宋_GB2312" w:eastAsia="方正仿宋_GB2312" w:cs="方正仿宋_GB2312"/>
          <w:kern w:val="0"/>
          <w:sz w:val="32"/>
          <w:szCs w:val="32"/>
          <w:lang w:val="en-US" w:eastAsia="zh-CN" w:bidi="ar"/>
        </w:rPr>
        <w:t>技能</w:t>
      </w:r>
      <w:r>
        <w:rPr>
          <w:rFonts w:hint="default" w:ascii="方正仿宋_GB2312" w:hAnsi="方正仿宋_GB2312" w:eastAsia="方正仿宋_GB2312" w:cs="方正仿宋_GB2312"/>
          <w:kern w:val="0"/>
          <w:sz w:val="32"/>
          <w:szCs w:val="32"/>
          <w:lang w:val="en-US" w:eastAsia="zh-CN" w:bidi="ar"/>
        </w:rPr>
        <w:t>教学环节，聚焦学生</w:t>
      </w:r>
      <w:r>
        <w:rPr>
          <w:rFonts w:hint="eastAsia" w:ascii="方正仿宋_GB2312" w:hAnsi="方正仿宋_GB2312" w:eastAsia="方正仿宋_GB2312" w:cs="方正仿宋_GB2312"/>
          <w:kern w:val="0"/>
          <w:sz w:val="32"/>
          <w:szCs w:val="32"/>
          <w:lang w:val="en-US" w:eastAsia="zh-CN" w:bidi="ar"/>
        </w:rPr>
        <w:t>专业</w:t>
      </w:r>
      <w:r>
        <w:rPr>
          <w:rFonts w:hint="default" w:ascii="方正仿宋_GB2312" w:hAnsi="方正仿宋_GB2312" w:eastAsia="方正仿宋_GB2312" w:cs="方正仿宋_GB2312"/>
          <w:kern w:val="0"/>
          <w:sz w:val="32"/>
          <w:szCs w:val="32"/>
          <w:lang w:val="en-US" w:eastAsia="zh-CN" w:bidi="ar"/>
        </w:rPr>
        <w:t>操作能力与职业素养的双重提升。通过深化与地方企业的协同合作，让学生在真实岗位环境中锤炼技能、积累经验。通过人才培养与产业需求的精准对接，为地方产业转型升级注入源源不断的人才动力，实现教育赋能产业、产业反哺教育的良性循环。</w:t>
      </w:r>
    </w:p>
    <w:p w14:paraId="2C0C4D54">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人才输送：</w:t>
      </w:r>
      <w:r>
        <w:rPr>
          <w:rFonts w:hint="default" w:ascii="方正仿宋_GB2312" w:hAnsi="方正仿宋_GB2312" w:eastAsia="方正仿宋_GB2312" w:cs="方正仿宋_GB2312"/>
          <w:kern w:val="0"/>
          <w:sz w:val="32"/>
          <w:szCs w:val="32"/>
          <w:lang w:val="en-US" w:eastAsia="zh-CN" w:bidi="ar"/>
        </w:rPr>
        <w:t>深度落实产教融合、校企协同育人机制，以行业需求为导向，动态优化专业布局与人才培养方案，聚焦高素质技术技能人才培育核心目标，为区域产业升级输送适配型、实用型人才。此举既有效破解地方企业人才供给缺口，更以人才赋能为地方经济高质量发展注入持久动力。</w:t>
      </w:r>
    </w:p>
    <w:p w14:paraId="15452210">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4" w:name="_Toc2316"/>
      <w:r>
        <w:rPr>
          <w:rFonts w:hint="eastAsia" w:ascii="方正楷体_GB2312" w:hAnsi="方正楷体_GB2312" w:eastAsia="方正楷体_GB2312" w:cs="方正楷体_GB2312"/>
          <w:b w:val="0"/>
          <w:bCs/>
          <w:lang w:val="en-US" w:eastAsia="zh-CN"/>
        </w:rPr>
        <w:t>3.3 服务乡村振兴</w:t>
      </w:r>
      <w:bookmarkEnd w:id="24"/>
    </w:p>
    <w:p w14:paraId="3BFB36D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t>文化传承与创新：</w:t>
      </w:r>
      <w:r>
        <w:rPr>
          <w:rFonts w:hint="default" w:ascii="方正仿宋_GB2312" w:hAnsi="方正仿宋_GB2312" w:eastAsia="方正仿宋_GB2312" w:cs="方正仿宋_GB2312"/>
          <w:kern w:val="0"/>
          <w:sz w:val="32"/>
          <w:szCs w:val="32"/>
          <w:lang w:val="en-US" w:eastAsia="zh-CN" w:bidi="ar"/>
        </w:rPr>
        <w:t>聚焦剪纸非遗文化的传承与创新，推动非遗传承与校园深度融合</w:t>
      </w:r>
      <w:r>
        <w:rPr>
          <w:rFonts w:hint="eastAsia" w:ascii="方正仿宋_GB2312" w:hAnsi="方正仿宋_GB2312" w:eastAsia="方正仿宋_GB2312" w:cs="方正仿宋_GB2312"/>
          <w:kern w:val="0"/>
          <w:sz w:val="32"/>
          <w:szCs w:val="32"/>
          <w:lang w:val="en-US" w:eastAsia="zh-CN" w:bidi="ar"/>
        </w:rPr>
        <w:t>，通过年画、剪纸非遗体验活动，传承剪纸技艺手法、民俗内涵等优秀文化基因，深入弘扬乡村剪纸中蕴含的审美情趣与人文精神，让民宿文化在活态传承中焕发新活力。</w:t>
      </w:r>
    </w:p>
    <w:p w14:paraId="58A8DAC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t>乡村治理与社区建设：</w:t>
      </w:r>
      <w:r>
        <w:rPr>
          <w:rFonts w:hint="eastAsia" w:ascii="方正仿宋_GB2312" w:hAnsi="方正仿宋_GB2312" w:eastAsia="方正仿宋_GB2312" w:cs="方正仿宋_GB2312"/>
          <w:kern w:val="0"/>
          <w:sz w:val="32"/>
          <w:szCs w:val="32"/>
          <w:lang w:val="en-US" w:eastAsia="zh-CN" w:bidi="ar"/>
        </w:rPr>
        <w:t>对接乡村治理与社区建设需求，以技能赋能基层发展。通过开展社区志愿服务实践等活动，组织师生深入乡村与社区，将服务理念融入基层治理。助力乡村文化建设与社区精神文明提升，以校地协同之力，为区域乡村振兴与社区和谐发展注入职教动能。</w:t>
      </w:r>
    </w:p>
    <w:p w14:paraId="69659DA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精准帮扶与教育支持：将精准帮扶与教育支持深度融合，春节期间开展学生慰问活动。学校组建慰问小组，深入乡村走访建档立卡等困难学生家庭，送上慰问物资与新春祝福，详细了解学生生活学习情况。同时，针对学生实际需求制定个性化帮扶计划，通过开展扶贫教育等举措，筑牢教育帮扶防线，让学生在暖心关怀中感受职教温度，助力乡村学子用技能改变命运。</w:t>
      </w:r>
    </w:p>
    <w:p w14:paraId="6BA696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7456" behindDoc="0" locked="0" layoutInCell="1" allowOverlap="1">
            <wp:simplePos x="0" y="0"/>
            <wp:positionH relativeFrom="column">
              <wp:posOffset>2762885</wp:posOffset>
            </wp:positionH>
            <wp:positionV relativeFrom="paragraph">
              <wp:posOffset>305435</wp:posOffset>
            </wp:positionV>
            <wp:extent cx="2381885" cy="1474470"/>
            <wp:effectExtent l="0" t="0" r="18415" b="11430"/>
            <wp:wrapNone/>
            <wp:docPr id="5" name="图片 5" descr="C:/Users/Administrator/Desktop/d2c6d3d9cfdfc7dc03f58be251dc8ebf_看图王.jpgd2c6d3d9cfdfc7dc03f58be251dc8ebf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d2c6d3d9cfdfc7dc03f58be251dc8ebf_看图王.jpgd2c6d3d9cfdfc7dc03f58be251dc8ebf_看图王"/>
                    <pic:cNvPicPr>
                      <a:picLocks noChangeAspect="1"/>
                    </pic:cNvPicPr>
                  </pic:nvPicPr>
                  <pic:blipFill>
                    <a:blip r:embed="rId23"/>
                    <a:srcRect t="4492" b="4492"/>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6432" behindDoc="0" locked="0" layoutInCell="1" allowOverlap="1">
            <wp:simplePos x="0" y="0"/>
            <wp:positionH relativeFrom="column">
              <wp:posOffset>-65405</wp:posOffset>
            </wp:positionH>
            <wp:positionV relativeFrom="paragraph">
              <wp:posOffset>305435</wp:posOffset>
            </wp:positionV>
            <wp:extent cx="2381885" cy="1474470"/>
            <wp:effectExtent l="0" t="0" r="18415" b="11430"/>
            <wp:wrapNone/>
            <wp:docPr id="4" name="图片 4" descr="C:/Users/Administrator/Desktop/剪纸1_看图王.jpg剪纸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剪纸1_看图王.jpg剪纸1_看图王"/>
                    <pic:cNvPicPr>
                      <a:picLocks noChangeAspect="1"/>
                    </pic:cNvPicPr>
                  </pic:nvPicPr>
                  <pic:blipFill>
                    <a:blip r:embed="rId24"/>
                    <a:srcRect l="6783" r="6783"/>
                    <a:stretch>
                      <a:fillRect/>
                    </a:stretch>
                  </pic:blipFill>
                  <pic:spPr>
                    <a:xfrm>
                      <a:off x="0" y="0"/>
                      <a:ext cx="2381885" cy="1474470"/>
                    </a:xfrm>
                    <a:prstGeom prst="rect">
                      <a:avLst/>
                    </a:prstGeom>
                  </pic:spPr>
                </pic:pic>
              </a:graphicData>
            </a:graphic>
          </wp:anchor>
        </w:drawing>
      </w:r>
    </w:p>
    <w:p w14:paraId="50C01E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040F59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2139A4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w:t>
      </w:r>
    </w:p>
    <w:p w14:paraId="75FC96A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4A1BCC46">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剪纸活动                     社区服务</w:t>
      </w:r>
    </w:p>
    <w:p w14:paraId="7C98C5F3">
      <w:pPr>
        <w:keepNext w:val="0"/>
        <w:keepLines w:val="0"/>
        <w:pageBreakBefore w:val="0"/>
        <w:widowControl w:val="0"/>
        <w:kinsoku/>
        <w:wordWrap/>
        <w:overflowPunct/>
        <w:topLinePunct w:val="0"/>
        <w:autoSpaceDE/>
        <w:autoSpaceDN/>
        <w:bidi w:val="0"/>
        <w:adjustRightInd/>
        <w:snapToGrid/>
        <w:spacing w:line="560" w:lineRule="exact"/>
        <w:ind w:firstLine="720" w:firstLineChars="300"/>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9504" behindDoc="0" locked="0" layoutInCell="1" allowOverlap="1">
            <wp:simplePos x="0" y="0"/>
            <wp:positionH relativeFrom="column">
              <wp:posOffset>2762885</wp:posOffset>
            </wp:positionH>
            <wp:positionV relativeFrom="paragraph">
              <wp:posOffset>283210</wp:posOffset>
            </wp:positionV>
            <wp:extent cx="2381885" cy="1474470"/>
            <wp:effectExtent l="0" t="0" r="18415" b="11430"/>
            <wp:wrapNone/>
            <wp:docPr id="7" name="图片 7" descr="C:/Users/Administrator/Desktop/慰问2.jpg慰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慰问2.jpg慰问2"/>
                    <pic:cNvPicPr>
                      <a:picLocks noChangeAspect="1"/>
                    </pic:cNvPicPr>
                  </pic:nvPicPr>
                  <pic:blipFill>
                    <a:blip r:embed="rId25"/>
                    <a:srcRect l="4608" r="4608"/>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8480" behindDoc="0" locked="0" layoutInCell="1" allowOverlap="1">
            <wp:simplePos x="0" y="0"/>
            <wp:positionH relativeFrom="column">
              <wp:posOffset>-65405</wp:posOffset>
            </wp:positionH>
            <wp:positionV relativeFrom="paragraph">
              <wp:posOffset>283210</wp:posOffset>
            </wp:positionV>
            <wp:extent cx="2381885" cy="1474470"/>
            <wp:effectExtent l="0" t="0" r="18415" b="11430"/>
            <wp:wrapNone/>
            <wp:docPr id="6" name="图片 6" descr="C:/Users/Administrator/Desktop/慰问.jpg慰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慰问.jpg慰问"/>
                    <pic:cNvPicPr>
                      <a:picLocks noChangeAspect="1"/>
                    </pic:cNvPicPr>
                  </pic:nvPicPr>
                  <pic:blipFill>
                    <a:blip r:embed="rId26"/>
                    <a:srcRect l="6697" r="6697"/>
                    <a:stretch>
                      <a:fillRect/>
                    </a:stretch>
                  </pic:blipFill>
                  <pic:spPr>
                    <a:xfrm>
                      <a:off x="0" y="0"/>
                      <a:ext cx="2381885" cy="1474470"/>
                    </a:xfrm>
                    <a:prstGeom prst="rect">
                      <a:avLst/>
                    </a:prstGeom>
                  </pic:spPr>
                </pic:pic>
              </a:graphicData>
            </a:graphic>
          </wp:anchor>
        </w:drawing>
      </w:r>
    </w:p>
    <w:p w14:paraId="2581963C">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p>
    <w:p w14:paraId="389C7EB0">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p>
    <w:p w14:paraId="0049DB83">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p>
    <w:p w14:paraId="3F8F6EE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2312" w:hAnsi="方正仿宋_GB2312" w:eastAsia="方正仿宋_GB2312" w:cs="方正仿宋_GB2312"/>
          <w:kern w:val="0"/>
          <w:sz w:val="32"/>
          <w:szCs w:val="32"/>
          <w:lang w:val="en-US" w:eastAsia="zh-CN" w:bidi="ar"/>
        </w:rPr>
      </w:pPr>
    </w:p>
    <w:p w14:paraId="2E52FAC8">
      <w:pPr>
        <w:keepNext w:val="0"/>
        <w:keepLines w:val="0"/>
        <w:pageBreakBefore w:val="0"/>
        <w:widowControl w:val="0"/>
        <w:kinsoku/>
        <w:wordWrap/>
        <w:overflowPunct/>
        <w:topLinePunct w:val="0"/>
        <w:autoSpaceDE/>
        <w:autoSpaceDN/>
        <w:bidi w:val="0"/>
        <w:adjustRightInd/>
        <w:snapToGrid/>
        <w:spacing w:line="560" w:lineRule="exact"/>
        <w:ind w:left="0" w:leftChars="0" w:firstLine="320" w:firstLineChars="100"/>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春节扶贫慰问活动1          春节扶贫慰问活动2</w:t>
      </w:r>
    </w:p>
    <w:p w14:paraId="4D21BFC2">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5" w:name="_Toc9655"/>
      <w:r>
        <w:rPr>
          <w:rFonts w:hint="eastAsia" w:ascii="方正楷体_GB2312" w:hAnsi="方正楷体_GB2312" w:eastAsia="方正楷体_GB2312" w:cs="方正楷体_GB2312"/>
          <w:b w:val="0"/>
          <w:bCs/>
          <w:lang w:val="en-US" w:eastAsia="zh-CN"/>
        </w:rPr>
        <w:t>3.4 服务地方社区</w:t>
      </w:r>
      <w:bookmarkEnd w:id="25"/>
    </w:p>
    <w:p w14:paraId="635D8B8D">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深耕地方、服务社群，以多元实践赋能社区发展。通过组织师生开展志愿服务、文化共建等特色活动，搭建校社互动桥梁，深化文化共鸣与情感联结。同时，依托教育资源优势，面向社区居民开设普惠性服务，精准对接居民成长需求。学校以实际行动践行社会责任，既丰富社区建设内涵，又助力居民赋能成长，为社区高质量发展提供坚实支撑。</w:t>
      </w:r>
    </w:p>
    <w:p w14:paraId="209D65F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3F9628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2A465EF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1552" behindDoc="0" locked="0" layoutInCell="1" allowOverlap="1">
            <wp:simplePos x="0" y="0"/>
            <wp:positionH relativeFrom="column">
              <wp:posOffset>3004185</wp:posOffset>
            </wp:positionH>
            <wp:positionV relativeFrom="paragraph">
              <wp:posOffset>-402590</wp:posOffset>
            </wp:positionV>
            <wp:extent cx="2381885" cy="1474470"/>
            <wp:effectExtent l="0" t="0" r="18415" b="11430"/>
            <wp:wrapNone/>
            <wp:docPr id="10" name="图片 10" descr="C:/Users/Administrator/Desktop/社区服务2.jpg社区服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社区服务2.jpg社区服务2"/>
                    <pic:cNvPicPr>
                      <a:picLocks noChangeAspect="1"/>
                    </pic:cNvPicPr>
                  </pic:nvPicPr>
                  <pic:blipFill>
                    <a:blip r:embed="rId27"/>
                    <a:srcRect t="4346" b="4346"/>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0528" behindDoc="0" locked="0" layoutInCell="1" allowOverlap="1">
            <wp:simplePos x="0" y="0"/>
            <wp:positionH relativeFrom="column">
              <wp:posOffset>86995</wp:posOffset>
            </wp:positionH>
            <wp:positionV relativeFrom="paragraph">
              <wp:posOffset>-441960</wp:posOffset>
            </wp:positionV>
            <wp:extent cx="2381885" cy="1474470"/>
            <wp:effectExtent l="0" t="0" r="18415" b="11430"/>
            <wp:wrapNone/>
            <wp:docPr id="9" name="图片 9" descr="C:/Users/Administrator/Desktop/社区服务.jpg社区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社区服务.jpg社区服务"/>
                    <pic:cNvPicPr>
                      <a:picLocks noChangeAspect="1"/>
                    </pic:cNvPicPr>
                  </pic:nvPicPr>
                  <pic:blipFill>
                    <a:blip r:embed="rId28"/>
                    <a:srcRect t="4972" b="4972"/>
                    <a:stretch>
                      <a:fillRect/>
                    </a:stretch>
                  </pic:blipFill>
                  <pic:spPr>
                    <a:xfrm>
                      <a:off x="0" y="0"/>
                      <a:ext cx="2381885" cy="1474470"/>
                    </a:xfrm>
                    <a:prstGeom prst="rect">
                      <a:avLst/>
                    </a:prstGeom>
                  </pic:spPr>
                </pic:pic>
              </a:graphicData>
            </a:graphic>
          </wp:anchor>
        </w:drawing>
      </w:r>
    </w:p>
    <w:p w14:paraId="2B24971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AC2CC6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D1B4A5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重阳节敬老院活动1           重阳节敬老院活动2</w:t>
      </w:r>
    </w:p>
    <w:p w14:paraId="1B64786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积极倡导师生投身志愿服务，以多元行动赋能社区发展。组织开展环保理念宣传、公益义诊、文艺汇演等特色志愿活动，让师生深入社区一线践行责任。既搭建了沟通的坚实桥梁，深化了与地方社区的情感联结，更在实践中锤炼学生的社会责任感与无私奉献精神，实现 “服务社区” 与 “育人成长” 的双向赋能。</w:t>
      </w:r>
    </w:p>
    <w:p w14:paraId="27C6005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6" w:name="_Toc28611"/>
      <w:r>
        <w:rPr>
          <w:rFonts w:hint="eastAsia" w:ascii="方正楷体_GB2312" w:hAnsi="方正楷体_GB2312" w:eastAsia="方正楷体_GB2312" w:cs="方正楷体_GB2312"/>
          <w:b w:val="0"/>
          <w:bCs/>
          <w:lang w:val="en-US" w:eastAsia="zh-CN"/>
        </w:rPr>
        <w:t>3.5 具有地域特色的服务</w:t>
      </w:r>
      <w:bookmarkEnd w:id="26"/>
    </w:p>
    <w:p w14:paraId="4499491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紧扣地方产业发展与文化传承需求，打造具有地域特色的服务矩阵：对接区域主导产业，提供定制化技能人才培养与技术支持；深挖剪纸等非遗资源，开展文化传承与社区共建活动；聚焦民生，为乡村与社区提供技能培训、文化服务。学校以实际行动践行地域责任，也彰显了职教服务地方的鲜明特色。</w:t>
      </w:r>
    </w:p>
    <w:p w14:paraId="30FE2DA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7" w:name="_Toc18924"/>
      <w:r>
        <w:rPr>
          <w:rFonts w:hint="eastAsia" w:ascii="方正楷体_GB2312" w:hAnsi="方正楷体_GB2312" w:eastAsia="方正楷体_GB2312" w:cs="方正楷体_GB2312"/>
          <w:b w:val="0"/>
          <w:bCs/>
          <w:lang w:val="en-US" w:eastAsia="zh-CN"/>
        </w:rPr>
        <w:t>3.6 具有本校特色的服务</w:t>
      </w:r>
      <w:bookmarkEnd w:id="27"/>
    </w:p>
    <w:p w14:paraId="7319921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以护理专业为核心，依托专业师资与实训资源，组建师生义诊服务队，聚焦社区老年群体及乡村居民健康需求，常态化开展 “公益义诊进社区” 活动，免费量血压为核心服务内容。师生深入咸阳各社区、乡村，精准测量血压、记录健康数据，为高血压人群提供饮食、用药指导，普及健康知识。既让学生锤炼专业技能，也培养社会责任感，以专业行动践行 “服务地方、守护健康” 初心。</w:t>
      </w:r>
    </w:p>
    <w:p w14:paraId="2A3CCE0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案例3-1</w:t>
      </w:r>
    </w:p>
    <w:p w14:paraId="4623BDB9">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学校以“孝亲敬老，爱暖桑榆” 为主题，组织师生志愿者走进敬老院开展多元服务。学生们带着慰问品，陪老人唠家常、听往事分享；同时，文艺志愿者带来合唱、乐器演奏等节目；护理专业师生团队开展健康检测，测量血压，讲解日常保健知识，示范简易康复操。让老人们感受到身心双重关怀，也让学生在实践中深化了敬老美德。</w:t>
      </w:r>
    </w:p>
    <w:p w14:paraId="4AF93A6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雷锋日当天，学校护理专业师生组建志愿服务队，走出校园、走向街道，开展学雷锋日义诊活动。志愿者们为环卫工人、中老年居民提供血压血糖检测、健康评估等服务，此次活动既解决了基层群众 “就医远、咨询难” 的痛点，也让学生将专业知识转化为服务能力，践行了雷锋精神与社会责任。</w:t>
      </w:r>
    </w:p>
    <w:p w14:paraId="42C1EA3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连续两年深耕社会服务，以常态化行动践行育人初心与责任担当。重阳节坚持组织师生走进敬老院，通过健康检测、文艺展演，为老年群体送去身心双重关怀，厚植孝亲敬老的社会风尚；雷锋日开展社区爱心义诊，提供血压血糖检测便民举措，精准匹配群众健康需求痛点。两年坚守中，既让老年群体与社区居民收获实实在在的温暖，更推动学生将专业知识转化为服务社会的实践能力，生动诠释了职业教育扎根民生、赋能社会的价值底色。</w:t>
      </w:r>
    </w:p>
    <w:p w14:paraId="6CC29EF7">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2CE6ABD2">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3600" behindDoc="0" locked="0" layoutInCell="1" allowOverlap="1">
            <wp:simplePos x="0" y="0"/>
            <wp:positionH relativeFrom="column">
              <wp:posOffset>3052445</wp:posOffset>
            </wp:positionH>
            <wp:positionV relativeFrom="paragraph">
              <wp:posOffset>-130810</wp:posOffset>
            </wp:positionV>
            <wp:extent cx="2381885" cy="1474470"/>
            <wp:effectExtent l="0" t="0" r="18415" b="11430"/>
            <wp:wrapNone/>
            <wp:docPr id="12" name="图片 12" descr="C:/Users/Administrator/Desktop/敬老院2.jpg敬老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敬老院2.jpg敬老院2"/>
                    <pic:cNvPicPr>
                      <a:picLocks noChangeAspect="1"/>
                    </pic:cNvPicPr>
                  </pic:nvPicPr>
                  <pic:blipFill>
                    <a:blip r:embed="rId29"/>
                    <a:srcRect t="4772" b="4772"/>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2576" behindDoc="0" locked="0" layoutInCell="1" allowOverlap="1">
            <wp:simplePos x="0" y="0"/>
            <wp:positionH relativeFrom="column">
              <wp:posOffset>288925</wp:posOffset>
            </wp:positionH>
            <wp:positionV relativeFrom="paragraph">
              <wp:posOffset>-51435</wp:posOffset>
            </wp:positionV>
            <wp:extent cx="2381885" cy="1474470"/>
            <wp:effectExtent l="0" t="0" r="18415" b="11430"/>
            <wp:wrapNone/>
            <wp:docPr id="11" name="图片 11" descr="C:/Users/Administrator/Desktop/敬老院.jpg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敬老院.jpg敬老院"/>
                    <pic:cNvPicPr>
                      <a:picLocks noChangeAspect="1"/>
                    </pic:cNvPicPr>
                  </pic:nvPicPr>
                  <pic:blipFill>
                    <a:blip r:embed="rId30"/>
                    <a:srcRect t="4532" b="4532"/>
                    <a:stretch>
                      <a:fillRect/>
                    </a:stretch>
                  </pic:blipFill>
                  <pic:spPr>
                    <a:xfrm>
                      <a:off x="0" y="0"/>
                      <a:ext cx="2381885" cy="1474470"/>
                    </a:xfrm>
                    <a:prstGeom prst="rect">
                      <a:avLst/>
                    </a:prstGeom>
                  </pic:spPr>
                </pic:pic>
              </a:graphicData>
            </a:graphic>
          </wp:anchor>
        </w:drawing>
      </w:r>
    </w:p>
    <w:p w14:paraId="120E4F3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6A94F67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1B93DFC2">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59D89DB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重阳节敬老活动1              重阳节敬老活动2</w:t>
      </w:r>
    </w:p>
    <w:p w14:paraId="5E3667F4">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28" w:name="_Toc2357"/>
      <w:r>
        <w:rPr>
          <w:rFonts w:hint="eastAsia"/>
          <w:b w:val="0"/>
          <w:bCs/>
          <w:lang w:val="en-US" w:eastAsia="zh-CN"/>
        </w:rPr>
        <w:t>四、文化传承</w:t>
      </w:r>
      <w:bookmarkEnd w:id="28"/>
    </w:p>
    <w:p w14:paraId="75CFBB2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9" w:name="_Toc15865"/>
      <w:r>
        <w:rPr>
          <w:rFonts w:hint="eastAsia" w:ascii="方正楷体_GB2312" w:hAnsi="方正楷体_GB2312" w:eastAsia="方正楷体_GB2312" w:cs="方正楷体_GB2312"/>
          <w:b w:val="0"/>
          <w:bCs/>
          <w:lang w:val="en-US" w:eastAsia="zh-CN"/>
        </w:rPr>
        <w:t>4.1 传承工匠精神</w:t>
      </w:r>
      <w:bookmarkEnd w:id="29"/>
    </w:p>
    <w:p w14:paraId="0AC06C2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1.共赏“大国工匠”风采，培育匠心精神活动</w:t>
      </w:r>
    </w:p>
    <w:p w14:paraId="479CCF4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弘扬工匠精神，落实立德树人根本任务，2025年9月16日，咸阳协和职业学校组织全体学生观看“大国工匠”直播。此次直播由教育部全国学生资助管理中心联合中国教育电视台开展，此次活动引导广大青年弘扬爱国主义精神、劳模精神、劳动精神和工匠精神，增强“技能成才，强国有我”意识，争做有理想、敢担当、能吃苦、肯奋斗的新时代好青年。</w:t>
      </w:r>
    </w:p>
    <w:p w14:paraId="600045A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学生观看后积极响应号召，参加省级职业教育活动周系列征文活动，通过个人成长经历进一步树立劳模精神、工匠精神，激发自身热爱技能、学习技能、传承技能的使命感。</w:t>
      </w:r>
    </w:p>
    <w:p w14:paraId="6ACE4D42">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9744" behindDoc="0" locked="0" layoutInCell="1" allowOverlap="1">
            <wp:simplePos x="0" y="0"/>
            <wp:positionH relativeFrom="column">
              <wp:posOffset>3052445</wp:posOffset>
            </wp:positionH>
            <wp:positionV relativeFrom="paragraph">
              <wp:posOffset>243840</wp:posOffset>
            </wp:positionV>
            <wp:extent cx="2381885" cy="1474470"/>
            <wp:effectExtent l="0" t="0" r="18415" b="11430"/>
            <wp:wrapNone/>
            <wp:docPr id="20" name="图片 20" descr="C:/Users/Administrator/Desktop/观后感.png观后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观后感.png观后感"/>
                    <pic:cNvPicPr>
                      <a:picLocks noChangeAspect="1"/>
                    </pic:cNvPicPr>
                  </pic:nvPicPr>
                  <pic:blipFill>
                    <a:blip r:embed="rId31"/>
                    <a:srcRect t="23247" b="23247"/>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8720" behindDoc="0" locked="0" layoutInCell="1" allowOverlap="1">
            <wp:simplePos x="0" y="0"/>
            <wp:positionH relativeFrom="column">
              <wp:posOffset>288925</wp:posOffset>
            </wp:positionH>
            <wp:positionV relativeFrom="paragraph">
              <wp:posOffset>243840</wp:posOffset>
            </wp:positionV>
            <wp:extent cx="2381885" cy="1474470"/>
            <wp:effectExtent l="0" t="0" r="18415" b="11430"/>
            <wp:wrapNone/>
            <wp:docPr id="19" name="图片 19" descr="C:/Users/Administrator/Desktop/工匠1.png工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工匠1.png工匠1"/>
                    <pic:cNvPicPr>
                      <a:picLocks noChangeAspect="1"/>
                    </pic:cNvPicPr>
                  </pic:nvPicPr>
                  <pic:blipFill>
                    <a:blip r:embed="rId32"/>
                    <a:srcRect l="6718" r="6718"/>
                    <a:stretch>
                      <a:fillRect/>
                    </a:stretch>
                  </pic:blipFill>
                  <pic:spPr>
                    <a:xfrm>
                      <a:off x="0" y="0"/>
                      <a:ext cx="2381885" cy="1474470"/>
                    </a:xfrm>
                    <a:prstGeom prst="rect">
                      <a:avLst/>
                    </a:prstGeom>
                  </pic:spPr>
                </pic:pic>
              </a:graphicData>
            </a:graphic>
          </wp:anchor>
        </w:drawing>
      </w:r>
    </w:p>
    <w:p w14:paraId="63DCEE4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76148DD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1E9252D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0D9B3C1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6B90AC3D">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观看直播现场              学生观后感征文 </w:t>
      </w:r>
    </w:p>
    <w:p w14:paraId="6731725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2.推广优秀职教学子苦练技术技能</w:t>
      </w:r>
    </w:p>
    <w:p w14:paraId="426D5F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咸阳协和职业学校幼儿保育专业的师生参加咸阳市中等职业学校技能大赛。参赛的6名同学分别参与了幼儿保育和舞蹈表演2个项目。参赛学生在校园内树立了一个个鲜活的榜样，营造出浓厚的 “比学赶超” 氛围。通过构建平台、助力竞赛、宣传推广等一系列举措，在优秀职教学子的成长过程中发挥了不可替代的作用，为职业教育的发展注入了源源不绝动力。</w:t>
      </w:r>
    </w:p>
    <w:p w14:paraId="6FC345E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1792" behindDoc="0" locked="0" layoutInCell="1" allowOverlap="1">
            <wp:simplePos x="0" y="0"/>
            <wp:positionH relativeFrom="column">
              <wp:posOffset>2936875</wp:posOffset>
            </wp:positionH>
            <wp:positionV relativeFrom="paragraph">
              <wp:posOffset>198120</wp:posOffset>
            </wp:positionV>
            <wp:extent cx="2381885" cy="1474470"/>
            <wp:effectExtent l="0" t="0" r="18415" b="11430"/>
            <wp:wrapNone/>
            <wp:docPr id="22" name="图片 22" descr="C:/Users/Administrator/Desktop/职教2.png职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职教2.png职教2"/>
                    <pic:cNvPicPr>
                      <a:picLocks noChangeAspect="1"/>
                    </pic:cNvPicPr>
                  </pic:nvPicPr>
                  <pic:blipFill>
                    <a:blip r:embed="rId33"/>
                    <a:srcRect l="11800" r="11800"/>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0768" behindDoc="0" locked="0" layoutInCell="1" allowOverlap="1">
            <wp:simplePos x="0" y="0"/>
            <wp:positionH relativeFrom="column">
              <wp:posOffset>212725</wp:posOffset>
            </wp:positionH>
            <wp:positionV relativeFrom="paragraph">
              <wp:posOffset>198120</wp:posOffset>
            </wp:positionV>
            <wp:extent cx="2381885" cy="1474470"/>
            <wp:effectExtent l="0" t="0" r="18415" b="11430"/>
            <wp:wrapNone/>
            <wp:docPr id="21" name="图片 21" descr="C:/Users/Administrator/Desktop/职教比赛.png职教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职教比赛.png职教比赛"/>
                    <pic:cNvPicPr>
                      <a:picLocks noChangeAspect="1"/>
                    </pic:cNvPicPr>
                  </pic:nvPicPr>
                  <pic:blipFill>
                    <a:blip r:embed="rId34"/>
                    <a:srcRect l="13717" r="13717"/>
                    <a:stretch>
                      <a:fillRect/>
                    </a:stretch>
                  </pic:blipFill>
                  <pic:spPr>
                    <a:xfrm>
                      <a:off x="0" y="0"/>
                      <a:ext cx="2381885" cy="1474470"/>
                    </a:xfrm>
                    <a:prstGeom prst="rect">
                      <a:avLst/>
                    </a:prstGeom>
                  </pic:spPr>
                </pic:pic>
              </a:graphicData>
            </a:graphic>
          </wp:anchor>
        </w:drawing>
      </w:r>
    </w:p>
    <w:p w14:paraId="28B2C2E4">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466F3EE4">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155561E0">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12528B3B">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4979C971">
      <w:pPr>
        <w:keepNext w:val="0"/>
        <w:keepLines w:val="0"/>
        <w:pageBreakBefore w:val="0"/>
        <w:widowControl/>
        <w:kinsoku/>
        <w:wordWrap/>
        <w:overflowPunct/>
        <w:topLinePunct w:val="0"/>
        <w:autoSpaceDE/>
        <w:autoSpaceDN/>
        <w:bidi w:val="0"/>
        <w:adjustRightInd/>
        <w:snapToGrid/>
        <w:spacing w:line="570" w:lineRule="exact"/>
        <w:ind w:firstLine="960" w:firstLineChars="30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技能大赛活动1              技能大赛活动2</w:t>
      </w:r>
    </w:p>
    <w:p w14:paraId="54A7E11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0" w:name="_Toc29702"/>
      <w:r>
        <w:rPr>
          <w:rFonts w:hint="eastAsia" w:ascii="方正楷体_GB2312" w:hAnsi="方正楷体_GB2312" w:eastAsia="方正楷体_GB2312" w:cs="方正楷体_GB2312"/>
          <w:b w:val="0"/>
          <w:bCs/>
          <w:lang w:val="en-US" w:eastAsia="zh-CN"/>
        </w:rPr>
        <w:t>4.2传承红色基因</w:t>
      </w:r>
      <w:bookmarkEnd w:id="30"/>
    </w:p>
    <w:p w14:paraId="28F2F80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 年清明节，咸阳协和职业学校在党支部书记带领下于咸阳烈士陵园再次开展 “缅怀先烈 继承遗志” 清明祭扫活动，校党支部、团委、校学生会 50 余名师生代表参与。学生代表整齐列队，悲壮哀乐响起，同学们手捧白菊花，全体肃立默哀。随后，校国旗护卫队向烈士纪念碑敬献花圈，表达对烈士的崇高敬意与深切缅怀。</w:t>
      </w:r>
    </w:p>
    <w:p w14:paraId="415F829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纪念仪式结束，师生们躬身擦拭碑，让英烈之名愈发清晰；敬献朵朵白花，将哀思与敬意轻轻安放；肃穆鞠躬致敬，在静默中追思先烈的峥嵘岁月。一擦一献一躬，是对英雄的缅怀，更是对红色血脉的传承，英烈精神，永存心间。</w:t>
      </w:r>
    </w:p>
    <w:p w14:paraId="571D2F3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2025年10月咸阳协和职业学校举行举办“唱响红色歌曲，绽放青春之花”唱红歌主题活动。活动覆盖全校师生，通过传唱经典红歌，让学生在旋律中感悟初心使命，在歌声中凝聚青春力量。</w:t>
      </w:r>
    </w:p>
    <w:p w14:paraId="5E1CC2A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3840" behindDoc="0" locked="0" layoutInCell="1" allowOverlap="1">
            <wp:simplePos x="0" y="0"/>
            <wp:positionH relativeFrom="column">
              <wp:posOffset>-6350</wp:posOffset>
            </wp:positionH>
            <wp:positionV relativeFrom="paragraph">
              <wp:posOffset>213360</wp:posOffset>
            </wp:positionV>
            <wp:extent cx="2381885" cy="1474470"/>
            <wp:effectExtent l="0" t="0" r="18415" b="11430"/>
            <wp:wrapNone/>
            <wp:docPr id="24" name="图片 24" descr="C:/Users/Administrator/Desktop/烈士碑1.png烈士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烈士碑1.png烈士碑1"/>
                    <pic:cNvPicPr>
                      <a:picLocks noChangeAspect="1"/>
                    </pic:cNvPicPr>
                  </pic:nvPicPr>
                  <pic:blipFill>
                    <a:blip r:embed="rId35"/>
                    <a:srcRect l="5017" r="5017"/>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2816" behindDoc="0" locked="0" layoutInCell="1" allowOverlap="1">
            <wp:simplePos x="0" y="0"/>
            <wp:positionH relativeFrom="column">
              <wp:posOffset>2898775</wp:posOffset>
            </wp:positionH>
            <wp:positionV relativeFrom="paragraph">
              <wp:posOffset>213360</wp:posOffset>
            </wp:positionV>
            <wp:extent cx="2381885" cy="1474470"/>
            <wp:effectExtent l="0" t="0" r="18415" b="11430"/>
            <wp:wrapNone/>
            <wp:docPr id="23" name="图片 23" descr="C:/Users/Administrator/Desktop/国旗1_看图王.png国旗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国旗1_看图王.png国旗1_看图王"/>
                    <pic:cNvPicPr>
                      <a:picLocks noChangeAspect="1"/>
                    </pic:cNvPicPr>
                  </pic:nvPicPr>
                  <pic:blipFill>
                    <a:blip r:embed="rId36"/>
                    <a:srcRect l="11370" r="11370"/>
                    <a:stretch>
                      <a:fillRect/>
                    </a:stretch>
                  </pic:blipFill>
                  <pic:spPr>
                    <a:xfrm>
                      <a:off x="0" y="0"/>
                      <a:ext cx="2381885" cy="1474470"/>
                    </a:xfrm>
                    <a:prstGeom prst="rect">
                      <a:avLst/>
                    </a:prstGeom>
                  </pic:spPr>
                </pic:pic>
              </a:graphicData>
            </a:graphic>
          </wp:anchor>
        </w:drawing>
      </w:r>
    </w:p>
    <w:p w14:paraId="4AD21CF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p>
    <w:p w14:paraId="6B1A169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2"/>
        <w:jc w:val="both"/>
        <w:textAlignment w:val="auto"/>
        <w:rPr>
          <w:rFonts w:hint="default" w:ascii="方正楷体_GB2312" w:hAnsi="方正楷体_GB2312" w:eastAsia="方正楷体_GB2312" w:cs="方正楷体_GB2312"/>
          <w:kern w:val="0"/>
          <w:sz w:val="32"/>
          <w:szCs w:val="32"/>
          <w:lang w:val="en-US" w:eastAsia="zh-CN" w:bidi="ar"/>
        </w:rPr>
      </w:pPr>
    </w:p>
    <w:p w14:paraId="2886DCFA">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3DE49FCB">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2EDD55E0">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清明节缅怀活动                红歌比赛活动</w:t>
      </w:r>
    </w:p>
    <w:p w14:paraId="2C65C294">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1" w:name="_Toc4166"/>
      <w:r>
        <w:rPr>
          <w:rFonts w:hint="eastAsia" w:ascii="方正楷体_GB2312" w:hAnsi="方正楷体_GB2312" w:eastAsia="方正楷体_GB2312" w:cs="方正楷体_GB2312"/>
          <w:b w:val="0"/>
          <w:bCs/>
          <w:lang w:val="en-US" w:eastAsia="zh-CN"/>
        </w:rPr>
        <w:t>4.3 传承中华优秀传统文化</w:t>
      </w:r>
      <w:bookmarkEnd w:id="31"/>
    </w:p>
    <w:p w14:paraId="01B7304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为深入推进中华优秀传统文化进校园、进心灵，学校以传统节日为契机，精心策划举办包粽子实践活动与古诗词大会，通过 “动手实践 + 经典诵读” 的双轨模式，让传统文化在校园焕发鲜活生机。</w:t>
      </w:r>
    </w:p>
    <w:p w14:paraId="7283FE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端午节前夕，学校为学生准备丰盛的午餐，同时还邀请食堂工作人员现场教同学们包粽子。既让学子亲历传统技艺，体悟折叶捆扎中的匠心智慧，更借节日溯源，传承屈原精神与家国情怀。这份指尖的温度，让传统文化从典籍走向生活，在实践中筑牢文化记忆，让千年文脉代代相传。</w:t>
      </w:r>
    </w:p>
    <w:p w14:paraId="0F37E4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2025年11月19日，学校积极举办古诗词大赛，积极弘扬中华优秀传统文化，引导学生感受中华文化的独特魅力，领略诗词之美，感受诗词之趣，全面提升学生的人文素养，积极推动中华传统文化在新时代发扬光大。</w:t>
      </w:r>
    </w:p>
    <w:p w14:paraId="6539CFF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p>
    <w:p w14:paraId="0110567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p>
    <w:p w14:paraId="0CDAF1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4864" behindDoc="0" locked="0" layoutInCell="1" allowOverlap="1">
            <wp:simplePos x="0" y="0"/>
            <wp:positionH relativeFrom="column">
              <wp:posOffset>99695</wp:posOffset>
            </wp:positionH>
            <wp:positionV relativeFrom="paragraph">
              <wp:posOffset>-17780</wp:posOffset>
            </wp:positionV>
            <wp:extent cx="2381885" cy="1474470"/>
            <wp:effectExtent l="0" t="0" r="18415" b="11430"/>
            <wp:wrapNone/>
            <wp:docPr id="25" name="图片 25" descr="C:/Users/Administrator/Desktop/包粽子_看图王.jpg包粽子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包粽子_看图王.jpg包粽子_看图王"/>
                    <pic:cNvPicPr>
                      <a:picLocks noChangeAspect="1"/>
                    </pic:cNvPicPr>
                  </pic:nvPicPr>
                  <pic:blipFill>
                    <a:blip r:embed="rId37"/>
                    <a:srcRect l="10013" r="10013"/>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5888" behindDoc="0" locked="0" layoutInCell="1" allowOverlap="1">
            <wp:simplePos x="0" y="0"/>
            <wp:positionH relativeFrom="column">
              <wp:posOffset>2919095</wp:posOffset>
            </wp:positionH>
            <wp:positionV relativeFrom="paragraph">
              <wp:posOffset>-17780</wp:posOffset>
            </wp:positionV>
            <wp:extent cx="2381885" cy="1474470"/>
            <wp:effectExtent l="0" t="0" r="18415" b="11430"/>
            <wp:wrapNone/>
            <wp:docPr id="26" name="图片 26" descr="C:/Users/Administrator/Desktop/古诗词_看图王.jpg古诗词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古诗词_看图王.jpg古诗词_看图王"/>
                    <pic:cNvPicPr>
                      <a:picLocks noChangeAspect="1"/>
                    </pic:cNvPicPr>
                  </pic:nvPicPr>
                  <pic:blipFill>
                    <a:blip r:embed="rId38"/>
                    <a:srcRect l="14664" r="14664"/>
                    <a:stretch>
                      <a:fillRect/>
                    </a:stretch>
                  </pic:blipFill>
                  <pic:spPr>
                    <a:xfrm>
                      <a:off x="0" y="0"/>
                      <a:ext cx="2381885" cy="1474470"/>
                    </a:xfrm>
                    <a:prstGeom prst="rect">
                      <a:avLst/>
                    </a:prstGeom>
                  </pic:spPr>
                </pic:pic>
              </a:graphicData>
            </a:graphic>
          </wp:anchor>
        </w:drawing>
      </w:r>
    </w:p>
    <w:p w14:paraId="32A1E549">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1E06B97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05D15ED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5ADB931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端午节包粽子活动            古诗词大赛活动</w:t>
      </w:r>
    </w:p>
    <w:p w14:paraId="31933C4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案例4-1</w:t>
      </w:r>
    </w:p>
    <w:p w14:paraId="2F32E05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深入贯彻党的教育方针，加强青少年学生的爱国主义教育，培养学生的历史责任感和使命感，咸阳协和职业学校以“赓续红色血脉，传承红色基因”为主题，持续深入开展红色教育，旨在让学生深入了解党的光辉历程和伟大成就，学习革命先烈的英勇事迹和崇高精神，进一步激发学生的爱国热情，坚定学生的理想信念。</w:t>
      </w:r>
    </w:p>
    <w:p w14:paraId="596C374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在祖国76周年华诞来临之际寻访红色足迹，4月18日，学校师生踏上了前往照金的红色研学实践之旅。师生倾情回顾了革命先辈走过的艰苦岁月，齐声赞扬全国人民团结一心、艰苦奋斗的伟大精神。同学们表示要继承和发扬革命先烈的优良传统，努力学习文化知识，树立正确的世界观、人生观和价值观，不断增强爱国意识和民族自豪感。</w:t>
      </w:r>
    </w:p>
    <w:p w14:paraId="4941AD6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通过此次活动，学生深刻认识到红色文化在中华文化中的传承和弘扬具有重要意义。学校将继续加强爱国主义教育，创新活动形式和内容，让红色文化在校园中生根发芽、开花结果。</w:t>
      </w:r>
    </w:p>
    <w:p w14:paraId="11362E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default" w:ascii="方正仿宋_GB2312" w:hAnsi="方正仿宋_GB2312" w:eastAsia="方正仿宋_GB2312" w:cs="方正仿宋_GB2312"/>
          <w:kern w:val="0"/>
          <w:sz w:val="32"/>
          <w:szCs w:val="32"/>
          <w:lang w:val="en-US" w:eastAsia="zh-CN" w:bidi="ar"/>
        </w:rPr>
      </w:pPr>
    </w:p>
    <w:p w14:paraId="2B0B571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仿宋" w:hAnsi="仿宋" w:eastAsia="仿宋" w:cs="仿宋"/>
          <w:b w:val="0"/>
          <w:bCs w:val="0"/>
          <w:i w:val="0"/>
          <w:iCs w:val="0"/>
          <w:caps w:val="0"/>
          <w:color w:val="333333"/>
          <w:spacing w:val="0"/>
          <w:sz w:val="28"/>
          <w:szCs w:val="28"/>
          <w:shd w:val="clear" w:color="auto" w:fill="FFFFFF"/>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7936" behindDoc="0" locked="0" layoutInCell="1" allowOverlap="1">
            <wp:simplePos x="0" y="0"/>
            <wp:positionH relativeFrom="column">
              <wp:posOffset>2919095</wp:posOffset>
            </wp:positionH>
            <wp:positionV relativeFrom="paragraph">
              <wp:posOffset>-17780</wp:posOffset>
            </wp:positionV>
            <wp:extent cx="2381885" cy="1474470"/>
            <wp:effectExtent l="0" t="0" r="18415" b="11430"/>
            <wp:wrapNone/>
            <wp:docPr id="29" name="图片 29" descr="C:/Users/Administrator/Desktop/茂陵研学1.png茂陵研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茂陵研学1.png茂陵研学1"/>
                    <pic:cNvPicPr>
                      <a:picLocks noChangeAspect="1"/>
                    </pic:cNvPicPr>
                  </pic:nvPicPr>
                  <pic:blipFill>
                    <a:blip r:embed="rId39"/>
                    <a:srcRect t="8731" b="8731"/>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6912" behindDoc="0" locked="0" layoutInCell="1" allowOverlap="1">
            <wp:simplePos x="0" y="0"/>
            <wp:positionH relativeFrom="column">
              <wp:posOffset>99695</wp:posOffset>
            </wp:positionH>
            <wp:positionV relativeFrom="paragraph">
              <wp:posOffset>-17780</wp:posOffset>
            </wp:positionV>
            <wp:extent cx="2381885" cy="1474470"/>
            <wp:effectExtent l="0" t="0" r="18415" b="11430"/>
            <wp:wrapNone/>
            <wp:docPr id="30" name="图片 30" descr="C:/Users/Administrator/Desktop/茂陵研学.png茂陵研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茂陵研学.png茂陵研学"/>
                    <pic:cNvPicPr>
                      <a:picLocks noChangeAspect="1"/>
                    </pic:cNvPicPr>
                  </pic:nvPicPr>
                  <pic:blipFill>
                    <a:blip r:embed="rId40"/>
                    <a:srcRect t="8731" b="8731"/>
                    <a:stretch>
                      <a:fillRect/>
                    </a:stretch>
                  </pic:blipFill>
                  <pic:spPr>
                    <a:xfrm>
                      <a:off x="0" y="0"/>
                      <a:ext cx="2381885" cy="1474470"/>
                    </a:xfrm>
                    <a:prstGeom prst="rect">
                      <a:avLst/>
                    </a:prstGeom>
                  </pic:spPr>
                </pic:pic>
              </a:graphicData>
            </a:graphic>
          </wp:anchor>
        </w:drawing>
      </w:r>
    </w:p>
    <w:p w14:paraId="5630FE7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6C2B748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023F448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4137FCD4">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照金红色研学活动1         照金红色研学活动2</w:t>
      </w:r>
    </w:p>
    <w:p w14:paraId="4F9FA01B">
      <w:pPr>
        <w:pStyle w:val="3"/>
        <w:pageBreakBefore w:val="0"/>
        <w:kinsoku/>
        <w:wordWrap/>
        <w:overflowPunct/>
        <w:topLinePunct w:val="0"/>
        <w:autoSpaceDE/>
        <w:autoSpaceDN/>
        <w:bidi w:val="0"/>
        <w:adjustRightInd/>
        <w:snapToGrid/>
        <w:spacing w:line="570" w:lineRule="exact"/>
        <w:textAlignment w:val="auto"/>
        <w:rPr>
          <w:rFonts w:hint="default"/>
          <w:b w:val="0"/>
          <w:bCs/>
          <w:lang w:val="en-US" w:eastAsia="zh-CN"/>
        </w:rPr>
      </w:pPr>
      <w:bookmarkStart w:id="32" w:name="_Toc3583"/>
      <w:r>
        <w:rPr>
          <w:rFonts w:hint="eastAsia"/>
          <w:b w:val="0"/>
          <w:bCs/>
          <w:lang w:val="en-US" w:eastAsia="zh-CN"/>
        </w:rPr>
        <w:t>五、国际合作</w:t>
      </w:r>
      <w:bookmarkEnd w:id="32"/>
    </w:p>
    <w:p w14:paraId="115CDDE2">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3" w:name="_Toc13401"/>
      <w:r>
        <w:rPr>
          <w:rFonts w:hint="eastAsia" w:ascii="方正楷体_GB2312" w:hAnsi="方正楷体_GB2312" w:eastAsia="方正楷体_GB2312" w:cs="方正楷体_GB2312"/>
          <w:b w:val="0"/>
          <w:bCs/>
          <w:lang w:val="en-US" w:eastAsia="zh-CN"/>
        </w:rPr>
        <w:t>5.1 合作办学情况</w:t>
      </w:r>
      <w:bookmarkEnd w:id="33"/>
    </w:p>
    <w:p w14:paraId="65F81BB2">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学校秉持开放办学理念，积极拓展国际教育合作渠道，目前正与国外多所医学类高校启动初步接洽，未来拟在联合育人、学术交流等方面开展深度协作，打造国际化教育生态。</w:t>
      </w:r>
    </w:p>
    <w:p w14:paraId="367DE28A">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4" w:name="_Toc24045"/>
      <w:r>
        <w:rPr>
          <w:rFonts w:hint="eastAsia" w:ascii="方正楷体_GB2312" w:hAnsi="方正楷体_GB2312" w:eastAsia="方正楷体_GB2312" w:cs="方正楷体_GB2312"/>
          <w:b w:val="0"/>
          <w:bCs/>
          <w:lang w:val="en-US" w:eastAsia="zh-CN"/>
        </w:rPr>
        <w:t>5.2提升学生国际化素养情况</w:t>
      </w:r>
      <w:bookmarkEnd w:id="34"/>
    </w:p>
    <w:p w14:paraId="50CD5D7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为扎实提升学生国际化素养，搭建中外教育交流桥梁，韩国国立全北大学代表团到访咸阳协和职业学校，开展交流合作活动。代表团参观了学校</w:t>
      </w:r>
      <w:r>
        <w:rPr>
          <w:rFonts w:hint="eastAsia" w:ascii="方正仿宋_GB2312" w:hAnsi="方正仿宋_GB2312" w:eastAsia="方正仿宋_GB2312" w:cs="方正仿宋_GB2312"/>
          <w:kern w:val="0"/>
          <w:sz w:val="32"/>
          <w:szCs w:val="32"/>
          <w:lang w:val="en-US" w:eastAsia="zh-CN" w:bidi="ar"/>
        </w:rPr>
        <w:t>教学楼、实训室</w:t>
      </w:r>
      <w:r>
        <w:rPr>
          <w:rFonts w:hint="default" w:ascii="方正仿宋_GB2312" w:hAnsi="方正仿宋_GB2312" w:eastAsia="方正仿宋_GB2312" w:cs="方正仿宋_GB2312"/>
          <w:kern w:val="0"/>
          <w:sz w:val="32"/>
          <w:szCs w:val="32"/>
          <w:lang w:val="en-US" w:eastAsia="zh-CN" w:bidi="ar"/>
        </w:rPr>
        <w:t>等教学场地，对学校的办学特色与实训教学水平给予高度评价。交流现场</w:t>
      </w:r>
      <w:r>
        <w:rPr>
          <w:rFonts w:hint="eastAsia" w:ascii="方正仿宋_GB2312" w:hAnsi="方正仿宋_GB2312" w:eastAsia="方正仿宋_GB2312" w:cs="方正仿宋_GB2312"/>
          <w:kern w:val="0"/>
          <w:sz w:val="32"/>
          <w:szCs w:val="32"/>
          <w:lang w:val="en-US" w:eastAsia="zh-CN" w:bidi="ar"/>
        </w:rPr>
        <w:t>，学</w:t>
      </w:r>
      <w:r>
        <w:rPr>
          <w:rFonts w:hint="default" w:ascii="方正仿宋_GB2312" w:hAnsi="方正仿宋_GB2312" w:eastAsia="方正仿宋_GB2312" w:cs="方正仿宋_GB2312"/>
          <w:kern w:val="0"/>
          <w:sz w:val="32"/>
          <w:szCs w:val="32"/>
          <w:lang w:val="en-US" w:eastAsia="zh-CN" w:bidi="ar"/>
        </w:rPr>
        <w:t>生代表面对面互动，在跨文化沟通中拓宽了国际视野。</w:t>
      </w:r>
    </w:p>
    <w:p w14:paraId="4673CC6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此次交流活动为学生搭建了直接接触国际教育资源的平台，不仅让学生近距离感受国外高校的教育模式与学术氛围，更激发了跨文化交流的热情与专业学习动力。学校以此次来访为契机，持续深化国际教育合作，通过中外交流活动，全方位提升学生的国际化视野与跨文化沟通能力，为培养适应高素质人才奠定坚实基础。</w:t>
      </w:r>
    </w:p>
    <w:p w14:paraId="7AD8286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4624" behindDoc="0" locked="0" layoutInCell="1" allowOverlap="1">
            <wp:simplePos x="0" y="0"/>
            <wp:positionH relativeFrom="column">
              <wp:posOffset>161925</wp:posOffset>
            </wp:positionH>
            <wp:positionV relativeFrom="paragraph">
              <wp:posOffset>282575</wp:posOffset>
            </wp:positionV>
            <wp:extent cx="2381885" cy="1474470"/>
            <wp:effectExtent l="0" t="0" r="18415" b="11430"/>
            <wp:wrapNone/>
            <wp:docPr id="13" name="图片 13" descr="C:/Users/Administrator/Desktop/ff931e02ed18ada97dbbe02fd7e5dcbb_看图王.jpgff931e02ed18ada97dbbe02fd7e5dcbb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ff931e02ed18ada97dbbe02fd7e5dcbb_看图王.jpgff931e02ed18ada97dbbe02fd7e5dcbb_看图王"/>
                    <pic:cNvPicPr>
                      <a:picLocks noChangeAspect="1"/>
                    </pic:cNvPicPr>
                  </pic:nvPicPr>
                  <pic:blipFill>
                    <a:blip r:embed="rId41"/>
                    <a:srcRect l="2519" r="2519"/>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5648" behindDoc="0" locked="0" layoutInCell="1" allowOverlap="1">
            <wp:simplePos x="0" y="0"/>
            <wp:positionH relativeFrom="column">
              <wp:posOffset>2917825</wp:posOffset>
            </wp:positionH>
            <wp:positionV relativeFrom="paragraph">
              <wp:posOffset>282575</wp:posOffset>
            </wp:positionV>
            <wp:extent cx="2381885" cy="1474470"/>
            <wp:effectExtent l="0" t="0" r="18415" b="11430"/>
            <wp:wrapNone/>
            <wp:docPr id="15" name="图片 15" descr="C:/Users/Administrator/Desktop/交流.jpg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交流.jpg交流"/>
                    <pic:cNvPicPr>
                      <a:picLocks noChangeAspect="1"/>
                    </pic:cNvPicPr>
                  </pic:nvPicPr>
                  <pic:blipFill>
                    <a:blip r:embed="rId42"/>
                    <a:srcRect l="1852" r="1852"/>
                    <a:stretch>
                      <a:fillRect/>
                    </a:stretch>
                  </pic:blipFill>
                  <pic:spPr>
                    <a:xfrm>
                      <a:off x="0" y="0"/>
                      <a:ext cx="2381885" cy="1474470"/>
                    </a:xfrm>
                    <a:prstGeom prst="rect">
                      <a:avLst/>
                    </a:prstGeom>
                  </pic:spPr>
                </pic:pic>
              </a:graphicData>
            </a:graphic>
          </wp:anchor>
        </w:drawing>
      </w:r>
    </w:p>
    <w:p w14:paraId="2EEE4F1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p>
    <w:p w14:paraId="17E35BF9">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023D7013">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hint="default" w:ascii="方正仿宋_GB2312" w:hAnsi="方正仿宋_GB2312" w:eastAsia="方正仿宋_GB2312" w:cs="方正仿宋_GB2312"/>
          <w:kern w:val="0"/>
          <w:sz w:val="32"/>
          <w:szCs w:val="32"/>
          <w:lang w:val="en-US" w:eastAsia="zh-CN" w:bidi="ar"/>
        </w:rPr>
      </w:pPr>
    </w:p>
    <w:p w14:paraId="0492F9DB">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hint="default" w:ascii="方正仿宋_GB2312" w:hAnsi="方正仿宋_GB2312" w:eastAsia="方正仿宋_GB2312" w:cs="方正仿宋_GB2312"/>
          <w:kern w:val="0"/>
          <w:sz w:val="32"/>
          <w:szCs w:val="32"/>
          <w:lang w:val="en-US" w:eastAsia="zh-CN" w:bidi="ar"/>
        </w:rPr>
      </w:pPr>
    </w:p>
    <w:p w14:paraId="7B933285">
      <w:pPr>
        <w:keepNext w:val="0"/>
        <w:keepLines w:val="0"/>
        <w:pageBreakBefore w:val="0"/>
        <w:widowControl/>
        <w:kinsoku/>
        <w:wordWrap/>
        <w:overflowPunct/>
        <w:topLinePunct w:val="0"/>
        <w:autoSpaceDE/>
        <w:autoSpaceDN/>
        <w:bidi w:val="0"/>
        <w:adjustRightInd/>
        <w:snapToGrid/>
        <w:spacing w:line="570" w:lineRule="exact"/>
        <w:ind w:left="0" w:leftChars="0" w:firstLine="320" w:firstLineChars="10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韩国全北大学交流活动1       韩国全北大学交流活动2 </w:t>
      </w:r>
    </w:p>
    <w:p w14:paraId="4493967F">
      <w:pPr>
        <w:pStyle w:val="3"/>
        <w:pageBreakBefore w:val="0"/>
        <w:kinsoku/>
        <w:wordWrap/>
        <w:overflowPunct/>
        <w:topLinePunct w:val="0"/>
        <w:autoSpaceDE/>
        <w:autoSpaceDN/>
        <w:bidi w:val="0"/>
        <w:adjustRightInd/>
        <w:snapToGrid/>
        <w:spacing w:line="570" w:lineRule="exact"/>
        <w:textAlignment w:val="auto"/>
        <w:rPr>
          <w:rFonts w:hint="default"/>
          <w:b w:val="0"/>
          <w:bCs/>
          <w:lang w:val="en-US" w:eastAsia="zh-CN"/>
        </w:rPr>
      </w:pPr>
      <w:bookmarkStart w:id="35" w:name="_Toc22974"/>
      <w:r>
        <w:rPr>
          <w:rFonts w:hint="eastAsia"/>
          <w:b w:val="0"/>
          <w:bCs/>
          <w:lang w:val="en-US" w:eastAsia="zh-CN"/>
        </w:rPr>
        <w:t>六、产教融合</w:t>
      </w:r>
      <w:bookmarkEnd w:id="35"/>
    </w:p>
    <w:p w14:paraId="49D8966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6" w:name="_Toc20818"/>
      <w:r>
        <w:rPr>
          <w:rFonts w:hint="eastAsia" w:ascii="方正楷体_GB2312" w:hAnsi="方正楷体_GB2312" w:eastAsia="方正楷体_GB2312" w:cs="方正楷体_GB2312"/>
          <w:b w:val="0"/>
          <w:bCs/>
          <w:lang w:val="en-US" w:eastAsia="zh-CN"/>
        </w:rPr>
        <w:t>6.1校企双元育人</w:t>
      </w:r>
      <w:bookmarkEnd w:id="36"/>
    </w:p>
    <w:p w14:paraId="28B16085">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0" w:lineRule="exact"/>
        <w:ind w:firstLine="640"/>
        <w:jc w:val="both"/>
        <w:textAlignment w:val="auto"/>
        <w:rPr>
          <w:rFonts w:hint="eastAsia" w:ascii="方正仿宋_GB2312" w:hAnsi="方正仿宋_GB2312" w:eastAsia="方正仿宋_GB2312" w:cs="方正仿宋_GB2312"/>
          <w:spacing w:val="0"/>
          <w:sz w:val="32"/>
          <w:szCs w:val="32"/>
          <w:shd w:val="clear" w:color="auto" w:fill="FFFFFF"/>
          <w:lang w:eastAsia="zh-CN"/>
        </w:rPr>
      </w:pPr>
      <w:r>
        <w:rPr>
          <w:rFonts w:hint="eastAsia" w:ascii="方正仿宋_GB2312" w:hAnsi="方正仿宋_GB2312" w:eastAsia="方正仿宋_GB2312" w:cs="方正仿宋_GB2312"/>
          <w:spacing w:val="0"/>
          <w:sz w:val="32"/>
          <w:szCs w:val="32"/>
          <w:shd w:val="clear" w:color="auto" w:fill="FFFFFF"/>
          <w:lang w:eastAsia="zh-CN"/>
        </w:rPr>
        <w:t>创新校企合作模式，推动职业教育高质量发展，是当前我国职业教育改革的重要主题。</w:t>
      </w:r>
      <w:r>
        <w:rPr>
          <w:rFonts w:hint="eastAsia" w:ascii="方正仿宋_GB2312" w:hAnsi="方正仿宋_GB2312" w:eastAsia="方正仿宋_GB2312" w:cs="方正仿宋_GB2312"/>
          <w:spacing w:val="0"/>
          <w:sz w:val="32"/>
          <w:szCs w:val="32"/>
          <w:shd w:val="clear" w:color="auto" w:fill="FFFFFF"/>
          <w:lang w:val="en-US" w:eastAsia="zh-CN"/>
        </w:rPr>
        <w:t>咸阳协和职业</w:t>
      </w:r>
      <w:r>
        <w:rPr>
          <w:rFonts w:hint="eastAsia" w:ascii="方正仿宋_GB2312" w:hAnsi="方正仿宋_GB2312" w:eastAsia="方正仿宋_GB2312" w:cs="方正仿宋_GB2312"/>
          <w:spacing w:val="0"/>
          <w:sz w:val="32"/>
          <w:szCs w:val="32"/>
          <w:shd w:val="clear" w:color="auto" w:fill="FFFFFF"/>
          <w:lang w:eastAsia="zh-CN"/>
        </w:rPr>
        <w:t>学校通过岗位实习等模式，积极探索校企“双元”育人创新模式，努力寻求教育链、人才链、产业链、创新链的“四链”融合发展。</w:t>
      </w:r>
    </w:p>
    <w:p w14:paraId="4E9F8913">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0" w:lineRule="exact"/>
        <w:ind w:firstLine="640"/>
        <w:jc w:val="both"/>
        <w:textAlignment w:val="auto"/>
        <w:rPr>
          <w:rFonts w:hint="eastAsia" w:ascii="方正仿宋_GB2312" w:hAnsi="方正仿宋_GB2312" w:eastAsia="方正仿宋_GB2312" w:cs="方正仿宋_GB2312"/>
          <w:spacing w:val="0"/>
          <w:sz w:val="32"/>
          <w:szCs w:val="32"/>
          <w:shd w:val="clear" w:color="auto" w:fill="FFFFFF"/>
        </w:rPr>
      </w:pPr>
      <w:r>
        <w:rPr>
          <w:rFonts w:hint="eastAsia" w:ascii="方正仿宋_GB2312" w:hAnsi="方正仿宋_GB2312" w:eastAsia="方正仿宋_GB2312" w:cs="方正仿宋_GB2312"/>
          <w:spacing w:val="0"/>
          <w:sz w:val="32"/>
          <w:szCs w:val="32"/>
          <w:shd w:val="clear" w:color="auto" w:fill="FFFFFF"/>
        </w:rPr>
        <w:t>校企合作稳步推进，力争各专业均建立对口、稳定、符合实习、就业需要的就业基地。现已与</w:t>
      </w:r>
      <w:r>
        <w:rPr>
          <w:rFonts w:hint="eastAsia" w:ascii="方正仿宋_GB2312" w:hAnsi="方正仿宋_GB2312" w:eastAsia="方正仿宋_GB2312" w:cs="方正仿宋_GB2312"/>
          <w:spacing w:val="0"/>
          <w:sz w:val="32"/>
          <w:szCs w:val="32"/>
          <w:shd w:val="clear" w:color="auto" w:fill="FFFFFF"/>
          <w:lang w:eastAsia="zh-CN"/>
        </w:rPr>
        <w:t>陕西中医药大学第二附属医院、西安唐盛医疗器械有限公司、陕西大秦医疗器械医疗公司、西安华天牙科技术有限公司、</w:t>
      </w:r>
      <w:r>
        <w:rPr>
          <w:rFonts w:hint="eastAsia" w:ascii="方正仿宋_GB2312" w:hAnsi="方正仿宋_GB2312" w:eastAsia="方正仿宋_GB2312" w:cs="方正仿宋_GB2312"/>
          <w:spacing w:val="0"/>
          <w:sz w:val="32"/>
          <w:szCs w:val="32"/>
          <w:shd w:val="clear" w:color="auto" w:fill="FFFFFF"/>
        </w:rPr>
        <w:t>咸阳市第一人民医院、咸阳市儿童医院</w:t>
      </w:r>
      <w:r>
        <w:rPr>
          <w:rFonts w:hint="eastAsia" w:ascii="方正仿宋_GB2312" w:hAnsi="方正仿宋_GB2312" w:eastAsia="方正仿宋_GB2312" w:cs="方正仿宋_GB2312"/>
          <w:spacing w:val="0"/>
          <w:sz w:val="32"/>
          <w:szCs w:val="32"/>
          <w:shd w:val="clear" w:color="auto" w:fill="FFFFFF"/>
          <w:lang w:eastAsia="zh-CN"/>
        </w:rPr>
        <w:t>、西安泰和居幼儿园、西安盟友数字科技有限公司等</w:t>
      </w:r>
      <w:r>
        <w:rPr>
          <w:rFonts w:hint="eastAsia" w:ascii="方正仿宋_GB2312" w:hAnsi="方正仿宋_GB2312" w:eastAsia="方正仿宋_GB2312" w:cs="方正仿宋_GB2312"/>
          <w:spacing w:val="0"/>
          <w:sz w:val="32"/>
          <w:szCs w:val="32"/>
          <w:shd w:val="clear" w:color="auto" w:fill="FFFFFF"/>
        </w:rPr>
        <w:t>诸多单位洽谈共建实训事项，目前正在按程序进行中。</w:t>
      </w:r>
    </w:p>
    <w:p w14:paraId="4ECBD16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7" w:name="_Toc27503"/>
      <w:r>
        <w:rPr>
          <w:rFonts w:hint="eastAsia" w:ascii="方正楷体_GB2312" w:hAnsi="方正楷体_GB2312" w:eastAsia="方正楷体_GB2312" w:cs="方正楷体_GB2312"/>
          <w:b w:val="0"/>
          <w:bCs/>
          <w:lang w:val="en-US" w:eastAsia="zh-CN"/>
        </w:rPr>
        <w:t>6.2市域产教联合体建设</w:t>
      </w:r>
      <w:bookmarkEnd w:id="37"/>
    </w:p>
    <w:p w14:paraId="24FC5DA9">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1.核心战略：“一体两翼”与“1135”新格局</w:t>
      </w:r>
    </w:p>
    <w:p w14:paraId="2A004476">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咸阳市将建设市域产教联合体和行业产教融合共同体作为现代职业教育体系改革的“两翼”，推动其实体化运行。在此基础上，构建了具有地方特色的“1135”产教融合新格局：</w:t>
      </w:r>
    </w:p>
    <w:p w14:paraId="38393C18">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·1个战略联盟：由陕西工业职业技术大学牵头的产教融合战略联盟。</w:t>
      </w:r>
    </w:p>
    <w:p w14:paraId="0D350527">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·1个创新走廊：以“高新区+文体功能区+西部科技创新港”等区域为依托的科技创新走廊。</w:t>
      </w:r>
    </w:p>
    <w:p w14:paraId="4163FCFD">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·3所示范高校：以陕西工业职业技术大学、陕西能源职业技术学院、咸阳职业技术学院为引领。</w:t>
      </w:r>
    </w:p>
    <w:p w14:paraId="1AB8E34D">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·5个产业板块：围绕现代服务业、装备制造、现代农业、高端能化、智慧城市五大主导产业打造产教融合板块。</w:t>
      </w:r>
    </w:p>
    <w:p w14:paraId="30FF40A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学校注重与行业企业的合作与交流，共同推动行业产教融合共同体建设，实现资源共享和优势互补。</w:t>
      </w:r>
    </w:p>
    <w:p w14:paraId="57034C42">
      <w:pPr>
        <w:keepNext w:val="0"/>
        <w:keepLines w:val="0"/>
        <w:pageBreakBefore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建立校企合作机制：与企业建立长期稳定的合作关系，共同制定人才培养方案、开发课程和教材，实现教学资源共享。同时邀请企业专家进校授课，为学生提供实践指导，帮助学生了解行业前沿动态和职业发展前景。</w:t>
      </w:r>
    </w:p>
    <w:p w14:paraId="61DED47D">
      <w:pPr>
        <w:keepNext w:val="0"/>
        <w:keepLines w:val="0"/>
        <w:pageBreakBefore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加强实践教学环节：注重实践教学，加强技能培训。通过建立实训基地、与企业合作等方式，为学生提供真实的实践环境，提高学生的实际操作能力。同时与企业合作开展项目，让学生在实践中学习和掌握实际工作技能。</w:t>
      </w:r>
    </w:p>
    <w:p w14:paraId="34794D81">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推动产教融合：积极与行业、企业合作，推动产教融合。通过与企业合作，共同制定人才培养方案、开发课程和教材，实现教学资源共享。同时邀请企业参与学校的专业建设和课程改革，使学校的专业设置和课程安排更加贴近市场需求。</w:t>
      </w:r>
    </w:p>
    <w:p w14:paraId="413682B2">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实施双师制教学：实施双师制教学，即由校内教师和企业专家共同组成教学团队，共同承担教学任务。通过双师制教学，以让学生在学习过程中获得校内教师和企业专家的双重指导，提高教学质量和学习效果。</w:t>
      </w:r>
    </w:p>
    <w:p w14:paraId="04B4802F">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开展职业规划指导：加强职业规划指导，帮助学生了解自己的兴趣、特长和职业发展方向。通过开展职业规划指导，可以让学生更加明确自己的职业目标，提高职业素养和就业竞争力。</w:t>
      </w:r>
    </w:p>
    <w:p w14:paraId="041916C0">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8" w:name="_Toc5309"/>
      <w:r>
        <w:rPr>
          <w:rFonts w:hint="eastAsia" w:ascii="方正楷体_GB2312" w:hAnsi="方正楷体_GB2312" w:eastAsia="方正楷体_GB2312" w:cs="方正楷体_GB2312"/>
          <w:b w:val="0"/>
          <w:bCs/>
          <w:lang w:val="en-US" w:eastAsia="zh-CN"/>
        </w:rPr>
        <w:t>6.3开放型区域产教融合实践中心建设</w:t>
      </w:r>
      <w:bookmarkEnd w:id="38"/>
    </w:p>
    <w:p w14:paraId="6B7C8438">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在咸阳市，开放型区域产教融合实践中心是中职学校深化产教融合、强化实践教学的核心平台。它通常以产教融合实训基地、职业教育体验中心等具体形式存在。</w:t>
      </w:r>
    </w:p>
    <w:p w14:paraId="7F41F1EC">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实践中心的核心功能，主要承担三大核心功能：</w:t>
      </w:r>
    </w:p>
    <w:p w14:paraId="558F226B">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1.开展学生实习实训</w:t>
      </w:r>
    </w:p>
    <w:p w14:paraId="7B492011">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·功能定位：组织职业学校学生进行实习实训，是中心的基础功能。</w:t>
      </w:r>
    </w:p>
    <w:p w14:paraId="6BDA6438">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·咸阳实践：在咸阳，中职学校与企业紧密合作，通过“工学交替，学做一体”的模式，把企业真实项目引入教学。</w:t>
      </w:r>
    </w:p>
    <w:p w14:paraId="1FFBB29E">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2.提供社会培训与职业体验</w:t>
      </w:r>
    </w:p>
    <w:p w14:paraId="40F5A8F8">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·功能定位：面向社会开展职业技能培训，并面向中小学生提供职业启蒙和体验。</w:t>
      </w:r>
    </w:p>
    <w:p w14:paraId="7D08BF43">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3.提供技术服务与协同创新</w:t>
      </w:r>
    </w:p>
    <w:p w14:paraId="67B71615">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·功能定位：通过承担企业课题，开展技术研发、工艺改进等服务。</w:t>
      </w:r>
    </w:p>
    <w:p w14:paraId="204B327C">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学校正在积极与诸多单位洽谈共建实训事项，目前正在按程序进行中。</w:t>
      </w:r>
    </w:p>
    <w:p w14:paraId="050F370D">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39" w:name="_Toc849"/>
      <w:r>
        <w:rPr>
          <w:rFonts w:hint="eastAsia"/>
          <w:b w:val="0"/>
          <w:bCs/>
          <w:lang w:val="en-US" w:eastAsia="zh-CN"/>
        </w:rPr>
        <w:t>七、发展保障</w:t>
      </w:r>
      <w:bookmarkEnd w:id="39"/>
    </w:p>
    <w:p w14:paraId="2726042D">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0" w:name="_Toc17352"/>
      <w:r>
        <w:rPr>
          <w:rFonts w:hint="eastAsia" w:ascii="方正楷体_GB2312" w:hAnsi="方正楷体_GB2312" w:eastAsia="方正楷体_GB2312" w:cs="方正楷体_GB2312"/>
          <w:b w:val="0"/>
          <w:bCs/>
          <w:lang w:val="en-US" w:eastAsia="zh-CN"/>
        </w:rPr>
        <w:t>7.1政策落实</w:t>
      </w:r>
      <w:bookmarkEnd w:id="40"/>
    </w:p>
    <w:p w14:paraId="708FE715">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仿宋" w:hAnsi="仿宋" w:eastAsia="仿宋"/>
          <w:sz w:val="32"/>
          <w:szCs w:val="32"/>
        </w:rPr>
        <w:t>学</w:t>
      </w:r>
      <w:r>
        <w:rPr>
          <w:rFonts w:hint="eastAsia" w:ascii="方正仿宋_GB2312" w:hAnsi="方正仿宋_GB2312" w:eastAsia="方正仿宋_GB2312" w:cs="方正仿宋_GB2312"/>
          <w:spacing w:val="0"/>
          <w:kern w:val="0"/>
          <w:sz w:val="32"/>
          <w:szCs w:val="32"/>
          <w:shd w:val="clear" w:color="auto" w:fill="FFFFFF"/>
          <w:lang w:val="en-US" w:eastAsia="zh-CN" w:bidi="ar"/>
        </w:rPr>
        <w:t>校积极贯彻落实国家职业教育政策，加强政策宣传，确保政策落实到位。</w:t>
      </w:r>
    </w:p>
    <w:p w14:paraId="38ECA14B">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ascii="仿宋" w:hAnsi="仿宋" w:eastAsia="仿宋"/>
          <w:sz w:val="32"/>
          <w:szCs w:val="32"/>
        </w:rPr>
      </w:pPr>
      <w:r>
        <w:rPr>
          <w:rFonts w:hint="eastAsia" w:ascii="方正仿宋_GB2312" w:hAnsi="方正仿宋_GB2312" w:eastAsia="方正仿宋_GB2312" w:cs="方正仿宋_GB2312"/>
          <w:spacing w:val="0"/>
          <w:kern w:val="0"/>
          <w:sz w:val="32"/>
          <w:szCs w:val="32"/>
          <w:shd w:val="clear" w:color="auto" w:fill="FFFFFF"/>
          <w:lang w:val="en-US" w:eastAsia="zh-CN" w:bidi="ar"/>
        </w:rPr>
        <w:t>学校认真贯彻落实《职业教育法》，不断改善办学条件，强化内部管理，加强学生文</w:t>
      </w:r>
      <w:r>
        <w:rPr>
          <w:rFonts w:hint="eastAsia" w:ascii="仿宋" w:hAnsi="仿宋" w:eastAsia="仿宋"/>
          <w:sz w:val="32"/>
          <w:szCs w:val="32"/>
        </w:rPr>
        <w:t>化素养及技能训练，加强中高职衔接、办学形式更加灵活，服务经济建设的能力逐步增强，学校整体教学质量不断提高，社会形象不断提升。</w:t>
      </w:r>
    </w:p>
    <w:p w14:paraId="06EE1416">
      <w:pPr>
        <w:pageBreakBefore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同时做好贫困生的资助工作是实践教育科学发展的重要体现，是巩固教育成果的重要手段。学校高度重视贫困生助学工作，深入学习并贯彻落实国家资助政策, 学校严格执行中等职业教育资助政策，全面推进学生资助工作的开展。对一、二、三年级全日制在籍在校学生中所有农村(含县镇)学生、城市涉农专业学生、城市家庭经济困难学生享受中职免学费，资助标准为：1600元</w:t>
      </w:r>
      <w:bookmarkStart w:id="41" w:name="OLE_LINK9"/>
      <w:bookmarkStart w:id="42" w:name="OLE_LINK10"/>
      <w:r>
        <w:rPr>
          <w:rFonts w:hint="eastAsia" w:ascii="仿宋" w:hAnsi="仿宋" w:eastAsia="仿宋"/>
          <w:sz w:val="32"/>
          <w:szCs w:val="32"/>
        </w:rPr>
        <w:t>/年.生</w:t>
      </w:r>
      <w:bookmarkEnd w:id="41"/>
      <w:bookmarkEnd w:id="42"/>
      <w:r>
        <w:rPr>
          <w:rFonts w:hint="eastAsia" w:ascii="仿宋" w:hAnsi="仿宋" w:eastAsia="仿宋"/>
          <w:sz w:val="32"/>
          <w:szCs w:val="32"/>
        </w:rPr>
        <w:t>。</w:t>
      </w:r>
    </w:p>
    <w:p w14:paraId="79F9736E">
      <w:pPr>
        <w:pageBreakBefore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一、二、三年级全日制在籍在校学生中家庭经济困难学生进行助学金资助，</w:t>
      </w:r>
      <w:bookmarkStart w:id="43" w:name="OLE_LINK8"/>
      <w:bookmarkStart w:id="44" w:name="OLE_LINK7"/>
      <w:r>
        <w:rPr>
          <w:rFonts w:hint="eastAsia" w:ascii="仿宋" w:hAnsi="仿宋" w:eastAsia="仿宋"/>
          <w:sz w:val="32"/>
          <w:szCs w:val="32"/>
        </w:rPr>
        <w:t>家庭经济困难学生</w:t>
      </w:r>
      <w:bookmarkEnd w:id="43"/>
      <w:bookmarkEnd w:id="44"/>
      <w:r>
        <w:rPr>
          <w:rFonts w:hint="eastAsia" w:ascii="仿宋" w:hAnsi="仿宋" w:eastAsia="仿宋"/>
          <w:sz w:val="32"/>
          <w:szCs w:val="32"/>
        </w:rPr>
        <w:t>比例按在校人数（不含集中连片地区学生数和涉农专业学生数）的20%确定。资助标准为1800–2800元/年.生。</w:t>
      </w:r>
    </w:p>
    <w:p w14:paraId="0E9F5683">
      <w:pPr>
        <w:pageBreakBefore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学校设立校内资助，对家庭经济困难学生进行学习、生活上资助和帮扶。</w:t>
      </w:r>
    </w:p>
    <w:p w14:paraId="43A4C4CC">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学校开展形式多样的学生资助宣传活动，积极加大政策宣传力度，确保全校家庭经济困难学生认定精准，贫困学生应助尽助，不漏一人。学校把“立德树人”教育理念融入学生资助工作全过程。通过资助激励贫困生及品学兼优的学子树立远大理想，明确学习目标，提升自己，不断努力。希望学生们以端正的态度、执着的信念、刻苦的精神，把自己磨炼成品学兼优的合格有用人才，为将来更好</w:t>
      </w:r>
      <w:r>
        <w:rPr>
          <w:rFonts w:hint="eastAsia" w:ascii="仿宋" w:hAnsi="仿宋" w:eastAsia="仿宋"/>
          <w:sz w:val="32"/>
          <w:szCs w:val="32"/>
          <w:lang w:val="en-US" w:eastAsia="zh-CN"/>
        </w:rPr>
        <w:t>地</w:t>
      </w:r>
      <w:r>
        <w:rPr>
          <w:rFonts w:hint="eastAsia" w:ascii="仿宋" w:hAnsi="仿宋" w:eastAsia="仿宋"/>
          <w:sz w:val="32"/>
          <w:szCs w:val="32"/>
        </w:rPr>
        <w:t>回报祖国，回报社会打下坚实的基础！</w:t>
      </w:r>
    </w:p>
    <w:p w14:paraId="02180270">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5" w:name="_Toc15037"/>
      <w:r>
        <w:rPr>
          <w:rFonts w:hint="eastAsia" w:ascii="方正楷体_GB2312" w:hAnsi="方正楷体_GB2312" w:eastAsia="方正楷体_GB2312" w:cs="方正楷体_GB2312"/>
          <w:b w:val="0"/>
          <w:bCs/>
          <w:lang w:val="en-US" w:eastAsia="zh-CN"/>
        </w:rPr>
        <w:t>7.2学校治理</w:t>
      </w:r>
      <w:bookmarkEnd w:id="45"/>
    </w:p>
    <w:p w14:paraId="5094723F">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1.全面提升学校治理水平</w:t>
      </w:r>
    </w:p>
    <w:p w14:paraId="03D67788">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咸阳协和职业学校以平安建设为主线，认真贯彻上级的指示精神，全面提升学校治理水平，完善制度体系，优化管理架构，强化数据驱动。保证了学校稳定良好的教学秩序，为学生营造了一个安静、和谐、健康、安全的学习环境和生活环境。</w:t>
      </w:r>
    </w:p>
    <w:p w14:paraId="059A7BA0">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0"/>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（1）提升治理水平。全面梳理学校各项规章制度，涵盖教学、德育、后勤、财务、安全等多部门，组建咸阳协和职业学校学生法治骨干队伍等做法，为规范办学和学生自治工作提供依据。</w:t>
      </w:r>
    </w:p>
    <w:p w14:paraId="07B2B831">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0"/>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（2）优化管理架构。构建“校领导 + 中层干部 + 班主任”三级管理网络，各司其职。校领导把握发展方向，中层负责协调推进，基层教职工落实一线任务，不定期召开工作会议，提升决策执行效率。</w:t>
      </w:r>
    </w:p>
    <w:p w14:paraId="7B683D10">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0"/>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（3）强化数据驱动。利用学校信息化管理平台，将教职工考勤、学籍录入、成绩登记、教师测评、住校生管理等数据进行整合分析，让数据说话，指导优化管理决策。</w:t>
      </w:r>
    </w:p>
    <w:p w14:paraId="20AF0434">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2.积极赋能团队组织自主管理</w:t>
      </w:r>
    </w:p>
    <w:p w14:paraId="6EFC3BAC">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工会贴心服务促凝聚。工会通过妇女节、端午节、教师节等各种节日为员工发放福利，学校举办了教职工冬季10公里路赛跑运动，丰富课余生活，推动改善办公环境、优化福利分配，提升教师归属感，凝聚向心力投入学校建设。</w:t>
      </w:r>
    </w:p>
    <w:p w14:paraId="3CA9F671">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jc w:val="left"/>
        <w:textAlignment w:val="auto"/>
        <w:rPr>
          <w:rFonts w:hint="eastAsia" w:ascii="黑体" w:hAnsi="黑体" w:eastAsia="黑体" w:cs="黑体"/>
          <w:kern w:val="0"/>
          <w:sz w:val="32"/>
          <w:szCs w:val="32"/>
          <w:lang w:eastAsia="zh-CN" w:bidi="ar"/>
        </w:rPr>
      </w:pPr>
      <w:r>
        <w:rPr>
          <w:rFonts w:hint="default" w:ascii="仿宋" w:hAnsi="仿宋" w:eastAsia="仿宋" w:cs="仿宋"/>
          <w:color w:val="333333"/>
          <w:sz w:val="24"/>
          <w:szCs w:val="24"/>
          <w:shd w:val="clear" w:color="auto" w:fill="FFFFFF"/>
        </w:rPr>
        <w:drawing>
          <wp:anchor distT="0" distB="0" distL="114300" distR="114300" simplePos="0" relativeHeight="251695104" behindDoc="0" locked="0" layoutInCell="1" allowOverlap="1">
            <wp:simplePos x="0" y="0"/>
            <wp:positionH relativeFrom="column">
              <wp:posOffset>36195</wp:posOffset>
            </wp:positionH>
            <wp:positionV relativeFrom="paragraph">
              <wp:posOffset>200660</wp:posOffset>
            </wp:positionV>
            <wp:extent cx="2386330" cy="1500505"/>
            <wp:effectExtent l="0" t="0" r="13970" b="4445"/>
            <wp:wrapNone/>
            <wp:docPr id="39" name="图片 1" descr="f3c339fd85491e4a6bcb4d295358c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f3c339fd85491e4a6bcb4d295358c8be"/>
                    <pic:cNvPicPr>
                      <a:picLocks noChangeAspect="1"/>
                    </pic:cNvPicPr>
                  </pic:nvPicPr>
                  <pic:blipFill>
                    <a:blip r:embed="rId43"/>
                    <a:stretch>
                      <a:fillRect/>
                    </a:stretch>
                  </pic:blipFill>
                  <pic:spPr>
                    <a:xfrm>
                      <a:off x="0" y="0"/>
                      <a:ext cx="2386330" cy="1500505"/>
                    </a:xfrm>
                    <a:prstGeom prst="rect">
                      <a:avLst/>
                    </a:prstGeom>
                    <a:noFill/>
                    <a:ln>
                      <a:noFill/>
                    </a:ln>
                  </pic:spPr>
                </pic:pic>
              </a:graphicData>
            </a:graphic>
          </wp:anchor>
        </w:drawing>
      </w:r>
      <w:r>
        <w:rPr>
          <w:rFonts w:hint="default" w:ascii="仿宋" w:hAnsi="仿宋" w:eastAsia="仿宋" w:cs="仿宋"/>
          <w:color w:val="333333"/>
          <w:sz w:val="24"/>
          <w:szCs w:val="24"/>
          <w:shd w:val="clear" w:color="auto" w:fill="FFFFFF"/>
        </w:rPr>
        <w:drawing>
          <wp:anchor distT="0" distB="0" distL="114300" distR="114300" simplePos="0" relativeHeight="251696128" behindDoc="0" locked="0" layoutInCell="1" allowOverlap="1">
            <wp:simplePos x="0" y="0"/>
            <wp:positionH relativeFrom="column">
              <wp:posOffset>2710815</wp:posOffset>
            </wp:positionH>
            <wp:positionV relativeFrom="paragraph">
              <wp:posOffset>202565</wp:posOffset>
            </wp:positionV>
            <wp:extent cx="2367915" cy="1498600"/>
            <wp:effectExtent l="0" t="0" r="13335" b="6350"/>
            <wp:wrapNone/>
            <wp:docPr id="40" name="图片 2" descr="0841425e8cab569b254a0f79d3110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0841425e8cab569b254a0f79d31108aa"/>
                    <pic:cNvPicPr>
                      <a:picLocks noChangeAspect="1"/>
                    </pic:cNvPicPr>
                  </pic:nvPicPr>
                  <pic:blipFill>
                    <a:blip r:embed="rId44"/>
                    <a:stretch>
                      <a:fillRect/>
                    </a:stretch>
                  </pic:blipFill>
                  <pic:spPr>
                    <a:xfrm>
                      <a:off x="0" y="0"/>
                      <a:ext cx="2367915" cy="1498600"/>
                    </a:xfrm>
                    <a:prstGeom prst="rect">
                      <a:avLst/>
                    </a:prstGeom>
                    <a:noFill/>
                    <a:ln>
                      <a:noFill/>
                    </a:ln>
                  </pic:spPr>
                </pic:pic>
              </a:graphicData>
            </a:graphic>
          </wp:anchor>
        </w:drawing>
      </w:r>
    </w:p>
    <w:p w14:paraId="7B8BC940">
      <w:pPr>
        <w:keepNext w:val="0"/>
        <w:keepLines w:val="0"/>
        <w:pageBreakBefore w:val="0"/>
        <w:widowControl/>
        <w:kinsoku/>
        <w:wordWrap/>
        <w:overflowPunct/>
        <w:topLinePunct w:val="0"/>
        <w:autoSpaceDE/>
        <w:autoSpaceDN/>
        <w:bidi w:val="0"/>
        <w:adjustRightInd/>
        <w:snapToGrid/>
        <w:spacing w:line="570" w:lineRule="exact"/>
        <w:ind w:left="0" w:leftChars="0" w:firstLine="0" w:firstLineChars="0"/>
        <w:jc w:val="left"/>
        <w:textAlignment w:val="auto"/>
        <w:rPr>
          <w:rFonts w:hint="eastAsia" w:ascii="方正楷体_GB2312" w:hAnsi="方正楷体_GB2312" w:eastAsia="方正楷体_GB2312" w:cs="方正楷体_GB2312"/>
          <w:kern w:val="0"/>
          <w:sz w:val="32"/>
          <w:szCs w:val="32"/>
          <w:lang w:val="en-US" w:eastAsia="zh-CN" w:bidi="ar"/>
        </w:rPr>
      </w:pPr>
    </w:p>
    <w:p w14:paraId="25B3489F">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0" w:lineRule="exact"/>
        <w:ind w:firstLine="640"/>
        <w:jc w:val="both"/>
        <w:textAlignment w:val="auto"/>
        <w:rPr>
          <w:rFonts w:hint="eastAsia" w:ascii="方正仿宋_GB2312" w:hAnsi="方正仿宋_GB2312" w:eastAsia="方正仿宋_GB2312" w:cs="方正仿宋_GB2312"/>
          <w:spacing w:val="0"/>
          <w:sz w:val="32"/>
          <w:szCs w:val="32"/>
          <w:shd w:val="clear" w:color="auto" w:fill="FFFFFF"/>
          <w:lang w:eastAsia="zh-CN"/>
        </w:rPr>
      </w:pPr>
    </w:p>
    <w:p w14:paraId="33E1A4A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p>
    <w:p w14:paraId="34671106">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183FCC1E">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 xml:space="preserve">工会发放节日福利1        工会发放节日福利2  </w:t>
      </w:r>
    </w:p>
    <w:p w14:paraId="027B84C1">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420" w:firstLineChars="200"/>
        <w:jc w:val="left"/>
        <w:textAlignment w:val="auto"/>
        <w:rPr>
          <w:rFonts w:hint="default" w:ascii="黑体" w:hAnsi="黑体" w:eastAsia="黑体" w:cs="黑体"/>
          <w:kern w:val="0"/>
          <w:sz w:val="32"/>
          <w:szCs w:val="32"/>
          <w:lang w:val="en-US" w:eastAsia="zh-CN" w:bidi="ar"/>
        </w:rPr>
      </w:pPr>
      <w:r>
        <w:rPr>
          <w:rFonts w:hint="default" w:eastAsia="仿宋" w:cs="Times New Roman"/>
          <w:color w:val="333333"/>
          <w:sz w:val="21"/>
          <w:szCs w:val="21"/>
        </w:rPr>
        <w:drawing>
          <wp:anchor distT="0" distB="0" distL="114300" distR="114300" simplePos="0" relativeHeight="251698176" behindDoc="0" locked="0" layoutInCell="1" allowOverlap="1">
            <wp:simplePos x="0" y="0"/>
            <wp:positionH relativeFrom="column">
              <wp:posOffset>2670175</wp:posOffset>
            </wp:positionH>
            <wp:positionV relativeFrom="paragraph">
              <wp:posOffset>180975</wp:posOffset>
            </wp:positionV>
            <wp:extent cx="2408555" cy="1523365"/>
            <wp:effectExtent l="0" t="0" r="10795" b="635"/>
            <wp:wrapNone/>
            <wp:docPr id="43" name="图片 4" descr="3134d9ada2c4424e62c83b1498852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3134d9ada2c4424e62c83b149885218d"/>
                    <pic:cNvPicPr>
                      <a:picLocks noChangeAspect="1"/>
                    </pic:cNvPicPr>
                  </pic:nvPicPr>
                  <pic:blipFill>
                    <a:blip r:embed="rId45"/>
                    <a:stretch>
                      <a:fillRect/>
                    </a:stretch>
                  </pic:blipFill>
                  <pic:spPr>
                    <a:xfrm>
                      <a:off x="0" y="0"/>
                      <a:ext cx="2408555" cy="1523365"/>
                    </a:xfrm>
                    <a:prstGeom prst="rect">
                      <a:avLst/>
                    </a:prstGeom>
                    <a:noFill/>
                    <a:ln>
                      <a:noFill/>
                    </a:ln>
                  </pic:spPr>
                </pic:pic>
              </a:graphicData>
            </a:graphic>
          </wp:anchor>
        </w:drawing>
      </w:r>
      <w:r>
        <w:rPr>
          <w:rFonts w:hint="default" w:eastAsia="仿宋" w:cs="Times New Roman"/>
          <w:color w:val="333333"/>
          <w:sz w:val="21"/>
          <w:szCs w:val="21"/>
        </w:rPr>
        <w:drawing>
          <wp:anchor distT="0" distB="0" distL="114300" distR="114300" simplePos="0" relativeHeight="251697152" behindDoc="0" locked="0" layoutInCell="1" allowOverlap="1">
            <wp:simplePos x="0" y="0"/>
            <wp:positionH relativeFrom="column">
              <wp:posOffset>19050</wp:posOffset>
            </wp:positionH>
            <wp:positionV relativeFrom="paragraph">
              <wp:posOffset>180975</wp:posOffset>
            </wp:positionV>
            <wp:extent cx="2403475" cy="1497965"/>
            <wp:effectExtent l="0" t="0" r="15875" b="6985"/>
            <wp:wrapNone/>
            <wp:docPr id="42" name="图片 3" descr="91e63bd69c777ab3a90054ffa0029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91e63bd69c777ab3a90054ffa0029d85"/>
                    <pic:cNvPicPr>
                      <a:picLocks noChangeAspect="1"/>
                    </pic:cNvPicPr>
                  </pic:nvPicPr>
                  <pic:blipFill>
                    <a:blip r:embed="rId46"/>
                    <a:stretch>
                      <a:fillRect/>
                    </a:stretch>
                  </pic:blipFill>
                  <pic:spPr>
                    <a:xfrm>
                      <a:off x="0" y="0"/>
                      <a:ext cx="2403475" cy="1497965"/>
                    </a:xfrm>
                    <a:prstGeom prst="rect">
                      <a:avLst/>
                    </a:prstGeom>
                    <a:noFill/>
                    <a:ln>
                      <a:noFill/>
                    </a:ln>
                  </pic:spPr>
                </pic:pic>
              </a:graphicData>
            </a:graphic>
          </wp:anchor>
        </w:drawing>
      </w:r>
    </w:p>
    <w:p w14:paraId="735A3179">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58B125CD">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6DF688C6">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5BA05AC0">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7F7B93E0">
      <w:pPr>
        <w:pageBreakBefore w:val="0"/>
        <w:kinsoku/>
        <w:wordWrap/>
        <w:overflowPunct/>
        <w:topLinePunct w:val="0"/>
        <w:autoSpaceDE/>
        <w:autoSpaceDN/>
        <w:bidi w:val="0"/>
        <w:adjustRightInd/>
        <w:snapToGrid/>
        <w:spacing w:line="570" w:lineRule="exact"/>
        <w:ind w:left="0" w:leftChars="0" w:firstLine="0" w:firstLineChars="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教职工冬季10公里路赛跑1  教职工冬季10公里路赛跑2</w:t>
      </w:r>
    </w:p>
    <w:p w14:paraId="0AFBB54B">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3.积极推进社会多方参与管理</w:t>
      </w:r>
    </w:p>
    <w:p w14:paraId="1D881DF6">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为增强师生的法治观念，营造良好的法治校园，开展警校共建活动，预防和转化未成年人犯罪。学校与辖区派出所开展警校共建活动，邀请法治副校长到校开展法治讲座。学校为提升教师应急救护能力，筑牢安全防线，学校联合红十字会为全体教职工进行应急救护技能培训。</w:t>
      </w:r>
    </w:p>
    <w:p w14:paraId="188F52B0">
      <w:pPr>
        <w:pageBreakBefore w:val="0"/>
        <w:kinsoku/>
        <w:wordWrap/>
        <w:overflowPunct/>
        <w:topLinePunct w:val="0"/>
        <w:autoSpaceDE/>
        <w:autoSpaceDN/>
        <w:bidi w:val="0"/>
        <w:adjustRightInd/>
        <w:snapToGrid/>
        <w:spacing w:line="570" w:lineRule="exact"/>
        <w:ind w:firstLine="48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仿宋"/>
          <w:color w:val="333333"/>
          <w:sz w:val="24"/>
          <w:szCs w:val="24"/>
          <w:shd w:val="clear" w:color="auto" w:fill="FFFFFF"/>
        </w:rPr>
        <w:drawing>
          <wp:anchor distT="0" distB="0" distL="114300" distR="114300" simplePos="0" relativeHeight="251700224" behindDoc="0" locked="0" layoutInCell="1" allowOverlap="1">
            <wp:simplePos x="0" y="0"/>
            <wp:positionH relativeFrom="column">
              <wp:posOffset>2684780</wp:posOffset>
            </wp:positionH>
            <wp:positionV relativeFrom="paragraph">
              <wp:posOffset>156210</wp:posOffset>
            </wp:positionV>
            <wp:extent cx="2404745" cy="1536065"/>
            <wp:effectExtent l="0" t="0" r="14605" b="6985"/>
            <wp:wrapNone/>
            <wp:docPr id="47" name="图片 7" descr="5c75840b753655b0558de32429918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5c75840b753655b0558de324299188f6"/>
                    <pic:cNvPicPr>
                      <a:picLocks noChangeAspect="1"/>
                    </pic:cNvPicPr>
                  </pic:nvPicPr>
                  <pic:blipFill>
                    <a:blip r:embed="rId47"/>
                    <a:stretch>
                      <a:fillRect/>
                    </a:stretch>
                  </pic:blipFill>
                  <pic:spPr>
                    <a:xfrm>
                      <a:off x="0" y="0"/>
                      <a:ext cx="2404745" cy="1536065"/>
                    </a:xfrm>
                    <a:prstGeom prst="rect">
                      <a:avLst/>
                    </a:prstGeom>
                    <a:noFill/>
                    <a:ln>
                      <a:noFill/>
                    </a:ln>
                  </pic:spPr>
                </pic:pic>
              </a:graphicData>
            </a:graphic>
          </wp:anchor>
        </w:drawing>
      </w:r>
      <w:r>
        <w:drawing>
          <wp:anchor distT="0" distB="0" distL="114300" distR="114300" simplePos="0" relativeHeight="251699200" behindDoc="0" locked="0" layoutInCell="1" allowOverlap="1">
            <wp:simplePos x="0" y="0"/>
            <wp:positionH relativeFrom="column">
              <wp:posOffset>8255</wp:posOffset>
            </wp:positionH>
            <wp:positionV relativeFrom="paragraph">
              <wp:posOffset>173990</wp:posOffset>
            </wp:positionV>
            <wp:extent cx="2399030" cy="1518285"/>
            <wp:effectExtent l="0" t="0" r="1270" b="5715"/>
            <wp:wrapNone/>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48"/>
                    <a:stretch>
                      <a:fillRect/>
                    </a:stretch>
                  </pic:blipFill>
                  <pic:spPr>
                    <a:xfrm>
                      <a:off x="0" y="0"/>
                      <a:ext cx="2399030" cy="1518285"/>
                    </a:xfrm>
                    <a:prstGeom prst="rect">
                      <a:avLst/>
                    </a:prstGeom>
                    <a:noFill/>
                    <a:ln>
                      <a:noFill/>
                    </a:ln>
                  </pic:spPr>
                </pic:pic>
              </a:graphicData>
            </a:graphic>
          </wp:anchor>
        </w:drawing>
      </w:r>
    </w:p>
    <w:p w14:paraId="68CF2775">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0541CBD8">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B6A017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07BFDAE1">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9865583">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480"/>
        <w:jc w:val="center"/>
        <w:textAlignment w:val="auto"/>
        <w:rPr>
          <w:rFonts w:hint="default" w:ascii="仿宋" w:hAnsi="仿宋" w:eastAsia="仿宋" w:cs="仿宋"/>
          <w:color w:val="333333"/>
          <w:sz w:val="24"/>
          <w:szCs w:val="24"/>
          <w:shd w:val="clear" w:color="auto" w:fill="FFFFFF"/>
          <w:lang w:val="en-US"/>
        </w:rPr>
      </w:pPr>
      <w:r>
        <w:rPr>
          <w:rFonts w:hint="eastAsia" w:ascii="仿宋" w:hAnsi="仿宋" w:eastAsia="仿宋" w:cs="Times New Roman"/>
          <w:kern w:val="2"/>
          <w:sz w:val="32"/>
          <w:szCs w:val="32"/>
          <w:lang w:val="en-US" w:eastAsia="zh-CN" w:bidi="ar-SA"/>
        </w:rPr>
        <w:t>法治讲座活动          开展急救技能培训活动</w:t>
      </w:r>
    </w:p>
    <w:p w14:paraId="0B79C577">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成立由党支部书记、校长、教师代表、学生代表、家长代表、学校财务人员、食堂管理人员等组成的膳食委员会，共同参与学校膳食管理，旨在确保学生膳食的安全、营养均衡，促进学生的健康成长。</w:t>
      </w:r>
    </w:p>
    <w:p w14:paraId="54C417EE">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drawing>
          <wp:anchor distT="0" distB="0" distL="114300" distR="114300" simplePos="0" relativeHeight="251701248" behindDoc="0" locked="0" layoutInCell="1" allowOverlap="1">
            <wp:simplePos x="0" y="0"/>
            <wp:positionH relativeFrom="column">
              <wp:posOffset>114300</wp:posOffset>
            </wp:positionH>
            <wp:positionV relativeFrom="paragraph">
              <wp:posOffset>248920</wp:posOffset>
            </wp:positionV>
            <wp:extent cx="2400935" cy="1495425"/>
            <wp:effectExtent l="0" t="0" r="18415" b="9525"/>
            <wp:wrapNone/>
            <wp:docPr id="48" name="图片 8" descr="27858f783d552b1699f7027e3ab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27858f783d552b1699f7027e3ab02062"/>
                    <pic:cNvPicPr>
                      <a:picLocks noChangeAspect="1"/>
                    </pic:cNvPicPr>
                  </pic:nvPicPr>
                  <pic:blipFill>
                    <a:blip r:embed="rId49"/>
                    <a:stretch>
                      <a:fillRect/>
                    </a:stretch>
                  </pic:blipFill>
                  <pic:spPr>
                    <a:xfrm>
                      <a:off x="0" y="0"/>
                      <a:ext cx="2400935" cy="1495425"/>
                    </a:xfrm>
                    <a:prstGeom prst="rect">
                      <a:avLst/>
                    </a:prstGeom>
                    <a:noFill/>
                    <a:ln>
                      <a:noFill/>
                    </a:ln>
                  </pic:spPr>
                </pic:pic>
              </a:graphicData>
            </a:graphic>
          </wp:anchor>
        </w:drawing>
      </w:r>
      <w:r>
        <w:rPr>
          <w:rFonts w:hint="default" w:ascii="仿宋" w:hAnsi="仿宋" w:eastAsia="仿宋" w:cs="仿宋"/>
          <w:color w:val="333333"/>
          <w:sz w:val="28"/>
          <w:szCs w:val="28"/>
          <w:shd w:val="clear" w:color="auto" w:fill="FFFFFF"/>
        </w:rPr>
        <w:drawing>
          <wp:anchor distT="0" distB="0" distL="114300" distR="114300" simplePos="0" relativeHeight="251702272" behindDoc="0" locked="0" layoutInCell="1" allowOverlap="1">
            <wp:simplePos x="0" y="0"/>
            <wp:positionH relativeFrom="column">
              <wp:posOffset>2684780</wp:posOffset>
            </wp:positionH>
            <wp:positionV relativeFrom="paragraph">
              <wp:posOffset>238125</wp:posOffset>
            </wp:positionV>
            <wp:extent cx="2408555" cy="1485265"/>
            <wp:effectExtent l="0" t="0" r="10795" b="635"/>
            <wp:wrapNone/>
            <wp:docPr id="49" name="图片 9" descr="00e3d31cd94fd952052b0fd2982c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00e3d31cd94fd952052b0fd2982c8842"/>
                    <pic:cNvPicPr>
                      <a:picLocks noChangeAspect="1"/>
                    </pic:cNvPicPr>
                  </pic:nvPicPr>
                  <pic:blipFill>
                    <a:blip r:embed="rId50"/>
                    <a:srcRect t="-1315" r="-1248"/>
                    <a:stretch>
                      <a:fillRect/>
                    </a:stretch>
                  </pic:blipFill>
                  <pic:spPr>
                    <a:xfrm>
                      <a:off x="0" y="0"/>
                      <a:ext cx="2408555" cy="1485265"/>
                    </a:xfrm>
                    <a:prstGeom prst="rect">
                      <a:avLst/>
                    </a:prstGeom>
                    <a:noFill/>
                    <a:ln>
                      <a:noFill/>
                    </a:ln>
                  </pic:spPr>
                </pic:pic>
              </a:graphicData>
            </a:graphic>
          </wp:anchor>
        </w:drawing>
      </w:r>
    </w:p>
    <w:p w14:paraId="61C16CD9">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7907397">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31EE1F89">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73A1BB5D">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0FBF014">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学校膳食委员会1             学校膳食委员会2</w:t>
      </w:r>
    </w:p>
    <w:p w14:paraId="22EDE7FC">
      <w:pPr>
        <w:pStyle w:val="4"/>
        <w:pageBreakBefore w:val="0"/>
        <w:kinsoku/>
        <w:wordWrap/>
        <w:overflowPunct/>
        <w:topLinePunct w:val="0"/>
        <w:autoSpaceDE/>
        <w:autoSpaceDN/>
        <w:bidi w:val="0"/>
        <w:adjustRightInd/>
        <w:snapToGrid/>
        <w:spacing w:line="570" w:lineRule="exact"/>
        <w:textAlignment w:val="auto"/>
        <w:rPr>
          <w:rFonts w:hint="default" w:ascii="方正楷体_GB2312" w:hAnsi="方正楷体_GB2312" w:eastAsia="方正楷体_GB2312" w:cs="方正楷体_GB2312"/>
          <w:b w:val="0"/>
          <w:bCs/>
          <w:lang w:val="en-US" w:eastAsia="zh-CN"/>
        </w:rPr>
      </w:pPr>
      <w:bookmarkStart w:id="46" w:name="_Toc22018"/>
      <w:r>
        <w:rPr>
          <w:rFonts w:hint="eastAsia" w:ascii="方正楷体_GB2312" w:hAnsi="方正楷体_GB2312" w:eastAsia="方正楷体_GB2312" w:cs="方正楷体_GB2312"/>
          <w:b w:val="0"/>
          <w:bCs/>
          <w:lang w:val="en-US" w:eastAsia="zh-CN"/>
        </w:rPr>
        <w:t>7.3</w:t>
      </w:r>
      <w:r>
        <w:rPr>
          <w:rFonts w:hint="default" w:ascii="方正楷体_GB2312" w:hAnsi="方正楷体_GB2312" w:eastAsia="方正楷体_GB2312" w:cs="方正楷体_GB2312"/>
          <w:b w:val="0"/>
          <w:bCs/>
          <w:lang w:val="en-US" w:eastAsia="zh-CN"/>
        </w:rPr>
        <w:t>质量保障</w:t>
      </w:r>
      <w:bookmarkEnd w:id="46"/>
    </w:p>
    <w:p w14:paraId="5FEFE39F">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质量保证体系建设是中职学校提升教育质量、保障教育公平的重要手段。以下是</w:t>
      </w:r>
      <w:r>
        <w:rPr>
          <w:rFonts w:hint="eastAsia" w:ascii="仿宋" w:hAnsi="仿宋" w:eastAsia="仿宋" w:cs="Times New Roman"/>
          <w:kern w:val="2"/>
          <w:sz w:val="32"/>
          <w:szCs w:val="32"/>
          <w:lang w:val="en-US" w:eastAsia="zh-CN" w:bidi="ar-SA"/>
        </w:rPr>
        <w:t>我校相关</w:t>
      </w:r>
      <w:r>
        <w:rPr>
          <w:rFonts w:hint="default" w:ascii="仿宋" w:hAnsi="仿宋" w:eastAsia="仿宋" w:cs="Times New Roman"/>
          <w:kern w:val="2"/>
          <w:sz w:val="32"/>
          <w:szCs w:val="32"/>
          <w:lang w:val="en-US" w:eastAsia="zh-CN" w:bidi="ar-SA"/>
        </w:rPr>
        <w:t>措施：</w:t>
      </w:r>
    </w:p>
    <w:p w14:paraId="6F471E88">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制定质量标准：制定明确的教育质量标准，包括课程设置、教学方法、师资队伍、设施设备等方面。通过制定质量标准，可以确保学校的教育教学活动有章可循，提高教育质量。</w:t>
      </w:r>
    </w:p>
    <w:p w14:paraId="218A377B">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完善质量监控机制：建立完善的质量监控机制，对教育教学的各个环节进行定期检查和评估。通过质量监控，可以及时发现和解决教育教学中的问题，确保教育质量的持续提高。</w:t>
      </w:r>
    </w:p>
    <w:p w14:paraId="0A7C307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加强师资队伍建设：加强师资队伍建设，提高教师的专业素养和教育教学方法。通过培训、交流等方式，提高教师的教育教学水平，为提高教育质量提供有力保障。</w:t>
      </w:r>
    </w:p>
    <w:p w14:paraId="52BE44C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注重实践教学环节：注重实践教学环节，加强实验、实训、实习等教学环节的管理和评估。通过实践教学，可以提高学生的实际操作能力和职业技能，提高教育质量。</w:t>
      </w:r>
    </w:p>
    <w:p w14:paraId="0973E057">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建立反馈机制：建立有效的反馈机制，鼓励学生、教师、家长等各方人士对教育教学活动提出意见和建议。通过反馈机制，可以及时了解和解决教育教学中的问题，提高教育质量。</w:t>
      </w:r>
    </w:p>
    <w:p w14:paraId="5822A4B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综上所述，质量保证体系建设是中职学校提升教育质量、保障教育公平的重要手段。通过制定质量标准、完善质量监控机制、加强师资队伍建设、注重实践教学环节和建立反馈机制等措施的实施，可以构建科学、合理、有效的质量保证体系，提高教育质量和办学水平。</w:t>
      </w:r>
    </w:p>
    <w:p w14:paraId="27171CF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7" w:name="_Toc18480"/>
      <w:r>
        <w:rPr>
          <w:rFonts w:hint="eastAsia" w:ascii="方正楷体_GB2312" w:hAnsi="方正楷体_GB2312" w:eastAsia="方正楷体_GB2312" w:cs="方正楷体_GB2312"/>
          <w:b w:val="0"/>
          <w:bCs/>
          <w:lang w:val="en-US" w:eastAsia="zh-CN"/>
        </w:rPr>
        <w:t>7.4经费投入</w:t>
      </w:r>
      <w:bookmarkEnd w:id="47"/>
    </w:p>
    <w:p w14:paraId="1A030E52">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1.学校经费主要收入来源</w:t>
      </w:r>
    </w:p>
    <w:p w14:paraId="5BD9ECE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促进学校教育事业的健康发展，根据学校实际情况，制定、报备及公示咸阳协和职业学校学费收费标准，并严格执行《陕西省民办教育收费管理实施办法》之规定，依法合规向学生收取学费、住宿费8828079.44元（截至11月30日），无乱收费现象。秦都区学生资助中心拨付24年春季、秋季及25年春季中职学生免学费资助金1372800元。</w:t>
      </w:r>
    </w:p>
    <w:p w14:paraId="777008B9">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2.使用效益</w:t>
      </w:r>
    </w:p>
    <w:p w14:paraId="7C5A04C3">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费使用严格遵循公益属性和财务规范，学校通过开展各项教育教学活动，主要用于教职工基本工资、社会保障费、职工福利、生活补助、奖金等人员经费；校舍房屋租赁费及物业费、水电费、办公费、通讯费、购置教学仪器设备及维修费、校舍修缮费、固定资产折旧费、财务费等公用支出，以保障学校教育培养成本，推进学校可持续发展。</w:t>
      </w:r>
    </w:p>
    <w:p w14:paraId="2B259E69">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（1）人员经费</w:t>
      </w:r>
    </w:p>
    <w:p w14:paraId="51E00F07">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25年学校全校员工基本工资、社会保障费、福利费、奖金4686795.33元；</w:t>
      </w:r>
    </w:p>
    <w:p w14:paraId="11FAEF94">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（2）公用支出</w:t>
      </w:r>
    </w:p>
    <w:p w14:paraId="2ABF0EF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房租费2939026.68元；</w:t>
      </w:r>
    </w:p>
    <w:p w14:paraId="776FE8E2">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水电费170067.10元；</w:t>
      </w:r>
    </w:p>
    <w:p w14:paraId="670E5658">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办公费80227.03元；</w:t>
      </w:r>
    </w:p>
    <w:p w14:paraId="3006804D">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修缮费53981.75元；</w:t>
      </w:r>
    </w:p>
    <w:p w14:paraId="55792EFE">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业务招待费24154.4元；</w:t>
      </w:r>
    </w:p>
    <w:p w14:paraId="2C094AF6">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学生校内资助费64358.07元；</w:t>
      </w:r>
    </w:p>
    <w:p w14:paraId="33B5E16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网络、通讯服务费20153元；</w:t>
      </w:r>
    </w:p>
    <w:p w14:paraId="286A985C">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业务宣传及招生费218836.7元；</w:t>
      </w:r>
    </w:p>
    <w:p w14:paraId="7FA54FBE">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财务费用及税金1147598.05元；</w:t>
      </w:r>
    </w:p>
    <w:p w14:paraId="76351085">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固定资产及折旧475572.26元；</w:t>
      </w:r>
    </w:p>
    <w:p w14:paraId="41E0DD82">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48" w:name="_Toc6241"/>
      <w:r>
        <w:rPr>
          <w:rFonts w:hint="eastAsia"/>
          <w:b w:val="0"/>
          <w:bCs/>
          <w:lang w:val="en-US" w:eastAsia="zh-CN"/>
        </w:rPr>
        <w:t>八、挑战与展望</w:t>
      </w:r>
      <w:bookmarkEnd w:id="48"/>
    </w:p>
    <w:p w14:paraId="3861EC31">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9" w:name="_Toc7059"/>
      <w:r>
        <w:rPr>
          <w:rFonts w:hint="eastAsia" w:ascii="方正楷体_GB2312" w:hAnsi="方正楷体_GB2312" w:eastAsia="方正楷体_GB2312" w:cs="方正楷体_GB2312"/>
          <w:b w:val="0"/>
          <w:bCs/>
          <w:lang w:val="en-US" w:eastAsia="zh-CN"/>
        </w:rPr>
        <w:t>8.1 面临挑战</w:t>
      </w:r>
      <w:bookmarkEnd w:id="49"/>
    </w:p>
    <w:p w14:paraId="7718EF30">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2025年咸阳协和职业学校面临着职业教育竞争加剧、人才培养质量需求提高等挑战。学校需要不断加强内涵建设，提高人才培养质量和服务水平，以应对激烈的市场竞争和不断变化的社会需求。</w:t>
      </w:r>
    </w:p>
    <w:p w14:paraId="757F7361">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场同质化竞争激烈：全省具有招生资质的中职相关院校309所（202所学历教育中职+107所技工院校）。目前，咸阳市有23所职业高中和不少于3所的技工院校等高中阶段教育的学校，70%的学校集中于热门专业，课程内容相似度达65%。同时普通高中招生规模长期高位运行，导致职普比例失衡，咸阳协和职业学校不仅招生需要靠加大力度宣传等方式维持规模，还存在学生转学、退学等情况。</w:t>
      </w:r>
    </w:p>
    <w:p w14:paraId="0FAC7534">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师资力量薄弱：专业课教师不好招聘，尤其是许多面向市场的新兴专业，由于没有专业课教师，一直不能申报开设。近年来，虽然加大了人才引进力度，但与学校发展和教学需求还有一定距离，与目标相差甚远。更加缺乏理论知识和实践技能兼备的“双师型”教师，使学校发展后劲不足。</w:t>
      </w:r>
    </w:p>
    <w:p w14:paraId="28DFFC98">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学生管理与发展通道遇阻：部分学生因家长疏于管理，学生自制力差，学习动力不足，出现频繁请假、厌学等情况，给学校管理带来难度。升学通道较窄，毕业学生面对学历劣势，技能不达标难获优质岗位。</w:t>
      </w:r>
    </w:p>
    <w:p w14:paraId="5B18B80C">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产教融合流于形式难深入：学校的实习实训设备、设施陈旧，与企业生产设施难以直接配套。学校与企业的合作层次较低，缺乏利益共享机制，产教融合多停留在顶岗实习层面，“订单式”培养等模式未能得到有效发展。</w:t>
      </w:r>
    </w:p>
    <w:p w14:paraId="1B8C779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50" w:name="_Toc16095"/>
      <w:r>
        <w:rPr>
          <w:rFonts w:hint="eastAsia" w:ascii="方正楷体_GB2312" w:hAnsi="方正楷体_GB2312" w:eastAsia="方正楷体_GB2312" w:cs="方正楷体_GB2312"/>
          <w:b w:val="0"/>
          <w:bCs/>
          <w:lang w:val="en-US" w:eastAsia="zh-CN"/>
        </w:rPr>
        <w:t>8.2未来展望</w:t>
      </w:r>
      <w:bookmarkEnd w:id="50"/>
    </w:p>
    <w:p w14:paraId="31F5C2C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eastAsia="zh-CN" w:bidi="ar"/>
        </w:rPr>
        <w:t>展望未来，咸阳协和职业学校将秉持初心，不断追求卓越与创新，致力于成为职业教育领域的标杆。以下是对咸阳协和职业学校未来发展的展望：</w:t>
      </w:r>
    </w:p>
    <w:p w14:paraId="337494B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r>
        <w:rPr>
          <w:rFonts w:hint="default" w:ascii="方正仿宋_GB2312" w:hAnsi="方正仿宋_GB2312" w:eastAsia="方正仿宋_GB2312" w:cs="方正仿宋_GB2312"/>
          <w:kern w:val="0"/>
          <w:sz w:val="32"/>
          <w:szCs w:val="32"/>
          <w:lang w:val="en-US" w:eastAsia="zh-CN" w:bidi="ar"/>
        </w:rPr>
        <w:t>建立专业动态调整机制</w:t>
      </w:r>
    </w:p>
    <w:p w14:paraId="1BD12F2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这是</w:t>
      </w:r>
      <w:r>
        <w:rPr>
          <w:rFonts w:hint="eastAsia" w:ascii="方正仿宋_GB2312" w:hAnsi="方正仿宋_GB2312" w:eastAsia="方正仿宋_GB2312" w:cs="方正仿宋_GB2312"/>
          <w:kern w:val="0"/>
          <w:sz w:val="32"/>
          <w:szCs w:val="32"/>
          <w:lang w:val="en-US" w:eastAsia="zh-CN" w:bidi="ar"/>
        </w:rPr>
        <w:t>学校</w:t>
      </w:r>
      <w:r>
        <w:rPr>
          <w:rFonts w:hint="default" w:ascii="方正仿宋_GB2312" w:hAnsi="方正仿宋_GB2312" w:eastAsia="方正仿宋_GB2312" w:cs="方正仿宋_GB2312"/>
          <w:kern w:val="0"/>
          <w:sz w:val="32"/>
          <w:szCs w:val="32"/>
          <w:lang w:val="en-US" w:eastAsia="zh-CN" w:bidi="ar"/>
        </w:rPr>
        <w:t>最核心的举措。关键在于建立常态化的市场调研和专业评估机制，实现“随产业动，跟需求走”。</w:t>
      </w:r>
    </w:p>
    <w:p w14:paraId="3C69EAE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做“加法”：主动增设区域重点产业、新兴产业急需的专业。</w:t>
      </w:r>
      <w:r>
        <w:rPr>
          <w:rFonts w:hint="eastAsia" w:ascii="方正仿宋_GB2312" w:hAnsi="方正仿宋_GB2312" w:eastAsia="方正仿宋_GB2312" w:cs="方正仿宋_GB2312"/>
          <w:kern w:val="0"/>
          <w:sz w:val="32"/>
          <w:szCs w:val="32"/>
          <w:lang w:val="en-US" w:eastAsia="zh-CN" w:bidi="ar"/>
        </w:rPr>
        <w:t>学校计划增加</w:t>
      </w:r>
      <w:r>
        <w:rPr>
          <w:rFonts w:hint="default" w:ascii="方正仿宋_GB2312" w:hAnsi="方正仿宋_GB2312" w:eastAsia="方正仿宋_GB2312" w:cs="方正仿宋_GB2312"/>
          <w:kern w:val="0"/>
          <w:sz w:val="32"/>
          <w:szCs w:val="32"/>
          <w:lang w:val="en-US" w:eastAsia="zh-CN" w:bidi="ar"/>
        </w:rPr>
        <w:t>智慧健康养老服务等专业。</w:t>
      </w:r>
    </w:p>
    <w:p w14:paraId="171CA53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做“减法”：定期评估，对连续招生困难、与产业脱节严重的专业，果断采取撤销、合并或转型措施。</w:t>
      </w:r>
      <w:r>
        <w:rPr>
          <w:rFonts w:hint="eastAsia" w:ascii="方正仿宋_GB2312" w:hAnsi="方正仿宋_GB2312" w:eastAsia="方正仿宋_GB2312" w:cs="方正仿宋_GB2312"/>
          <w:kern w:val="0"/>
          <w:sz w:val="32"/>
          <w:szCs w:val="32"/>
          <w:lang w:val="en-US" w:eastAsia="zh-CN" w:bidi="ar"/>
        </w:rPr>
        <w:t>学校已撤销汽车专业、音乐表演专业。</w:t>
      </w:r>
    </w:p>
    <w:p w14:paraId="66662C2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2.深化多元融合的育人模式</w:t>
      </w:r>
    </w:p>
    <w:p w14:paraId="76EAFCE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突破校园围墙，</w:t>
      </w:r>
      <w:r>
        <w:rPr>
          <w:rFonts w:hint="eastAsia" w:ascii="方正仿宋_GB2312" w:hAnsi="方正仿宋_GB2312" w:eastAsia="方正仿宋_GB2312" w:cs="方正仿宋_GB2312"/>
          <w:kern w:val="0"/>
          <w:sz w:val="32"/>
          <w:szCs w:val="32"/>
          <w:lang w:val="en-US" w:eastAsia="zh-CN" w:bidi="ar"/>
        </w:rPr>
        <w:t>学校将</w:t>
      </w:r>
      <w:r>
        <w:rPr>
          <w:rFonts w:hint="default" w:ascii="方正仿宋_GB2312" w:hAnsi="方正仿宋_GB2312" w:eastAsia="方正仿宋_GB2312" w:cs="方正仿宋_GB2312"/>
          <w:kern w:val="0"/>
          <w:sz w:val="32"/>
          <w:szCs w:val="32"/>
          <w:lang w:val="en-US" w:eastAsia="zh-CN" w:bidi="ar"/>
        </w:rPr>
        <w:t>构建开放融合的育人生态。</w:t>
      </w:r>
    </w:p>
    <w:p w14:paraId="07DFCD8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产教融合：推动合作从“实训实习”向“人才共育”深化。可借鉴共建产业学院、市域产教联合体等模式，或引入头部企业资源共建“产教融合实践中心”。</w:t>
      </w:r>
    </w:p>
    <w:p w14:paraId="688D848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中高本贯通：</w:t>
      </w:r>
      <w:r>
        <w:rPr>
          <w:rFonts w:hint="eastAsia" w:ascii="方正仿宋_GB2312" w:hAnsi="方正仿宋_GB2312" w:eastAsia="方正仿宋_GB2312" w:cs="方正仿宋_GB2312"/>
          <w:kern w:val="0"/>
          <w:sz w:val="32"/>
          <w:szCs w:val="32"/>
          <w:lang w:val="en-US" w:eastAsia="zh-CN" w:bidi="ar"/>
        </w:rPr>
        <w:t>学校</w:t>
      </w:r>
      <w:r>
        <w:rPr>
          <w:rFonts w:hint="default" w:ascii="方正仿宋_GB2312" w:hAnsi="方正仿宋_GB2312" w:eastAsia="方正仿宋_GB2312" w:cs="方正仿宋_GB2312"/>
          <w:kern w:val="0"/>
          <w:sz w:val="32"/>
          <w:szCs w:val="32"/>
          <w:lang w:val="en-US" w:eastAsia="zh-CN" w:bidi="ar"/>
        </w:rPr>
        <w:t>积极与高职、职业本科院校合作，构建学生学历上升通道。</w:t>
      </w:r>
      <w:r>
        <w:rPr>
          <w:rFonts w:hint="eastAsia" w:ascii="方正仿宋_GB2312" w:hAnsi="方正仿宋_GB2312" w:eastAsia="方正仿宋_GB2312" w:cs="方正仿宋_GB2312"/>
          <w:kern w:val="0"/>
          <w:sz w:val="32"/>
          <w:szCs w:val="32"/>
          <w:lang w:val="en-US" w:eastAsia="zh-CN" w:bidi="ar"/>
        </w:rPr>
        <w:t>我校先后签订优质生源基地的学校有：陕西邮电职业技术学院、陕西财经职业技术学院、宝鸡职业技术学院、陕西工业职业技术学院和咸阳职业技术学院、杨凌职业技术学院、陕西能源职业技术学院、西安航空职业技术学院等。</w:t>
      </w:r>
    </w:p>
    <w:p w14:paraId="3E043A2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3. 以数字化与国际化赋能提质</w:t>
      </w:r>
    </w:p>
    <w:p w14:paraId="25ECCAD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这是提升现代化水平和影响力的关键。</w:t>
      </w:r>
    </w:p>
    <w:p w14:paraId="16AF45D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数字化赋能：不仅指建设智慧校园，更核心的是探索“AI+职教”新生态，利用虚拟仿真、在线课程等改造传统教学。</w:t>
      </w:r>
    </w:p>
    <w:p w14:paraId="20CB52A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国际化拓展：可主动对接“中文+职业教育”项目，或引入国际通用的职业资格证书标准，提升人才培养的国际适应力。</w:t>
      </w:r>
      <w:r>
        <w:rPr>
          <w:rFonts w:hint="eastAsia" w:ascii="方正仿宋_GB2312" w:hAnsi="方正仿宋_GB2312" w:eastAsia="方正仿宋_GB2312" w:cs="方正仿宋_GB2312"/>
          <w:kern w:val="0"/>
          <w:sz w:val="32"/>
          <w:szCs w:val="32"/>
          <w:lang w:val="en-US" w:eastAsia="zh-CN" w:bidi="ar"/>
        </w:rPr>
        <w:t>2025年6月30日学校与韩国国立全北大学开启友好交流活动。</w:t>
      </w:r>
    </w:p>
    <w:p w14:paraId="578903E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4. 实施“双师型”教师提质计划</w:t>
      </w:r>
    </w:p>
    <w:p w14:paraId="62C4915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师资是质量的根本。</w:t>
      </w:r>
      <w:r>
        <w:rPr>
          <w:rFonts w:hint="eastAsia" w:ascii="方正仿宋_GB2312" w:hAnsi="方正仿宋_GB2312" w:eastAsia="方正仿宋_GB2312" w:cs="方正仿宋_GB2312"/>
          <w:kern w:val="0"/>
          <w:sz w:val="32"/>
          <w:szCs w:val="32"/>
          <w:lang w:val="en-US" w:eastAsia="zh-CN" w:bidi="ar"/>
        </w:rPr>
        <w:t>学校将</w:t>
      </w:r>
      <w:r>
        <w:rPr>
          <w:rFonts w:hint="default" w:ascii="方正仿宋_GB2312" w:hAnsi="方正仿宋_GB2312" w:eastAsia="方正仿宋_GB2312" w:cs="方正仿宋_GB2312"/>
          <w:kern w:val="0"/>
          <w:sz w:val="32"/>
          <w:szCs w:val="32"/>
          <w:lang w:val="en-US" w:eastAsia="zh-CN" w:bidi="ar"/>
        </w:rPr>
        <w:t>制定专项计划，系统提升教师队伍。</w:t>
      </w:r>
    </w:p>
    <w:p w14:paraId="1623809D">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强化实践能力：严格落实教师定期到企业实践制度，并将其与职称评定挂钩。</w:t>
      </w:r>
    </w:p>
    <w:p w14:paraId="42ABA9C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创新引进机制：设立“产业导师”特聘岗位，大力引进行业企业专家、技术能手担任兼职教师。</w:t>
      </w:r>
    </w:p>
    <w:p w14:paraId="726D047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5. 构建以贡献为导向的评价激励体系</w:t>
      </w:r>
    </w:p>
    <w:p w14:paraId="0EF9627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学校将</w:t>
      </w:r>
      <w:r>
        <w:rPr>
          <w:rFonts w:hint="default" w:ascii="方正仿宋_GB2312" w:hAnsi="方正仿宋_GB2312" w:eastAsia="方正仿宋_GB2312" w:cs="方正仿宋_GB2312"/>
          <w:kern w:val="0"/>
          <w:sz w:val="32"/>
          <w:szCs w:val="32"/>
          <w:lang w:val="en-US" w:eastAsia="zh-CN" w:bidi="ar"/>
        </w:rPr>
        <w:t>建立注重实际成效的评价文化，激发内生动力。</w:t>
      </w:r>
    </w:p>
    <w:p w14:paraId="79BBD6EF">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评价维度多元化：将学生本地就业率、对口就业率、为合作企业解决技术难题的数量、社会培训规模等纳入学校及教师的绩效评价。</w:t>
      </w:r>
    </w:p>
    <w:p w14:paraId="7FDF2FE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强化成果激励：对师生在技能大赛、教学创新、专利转化等方面取得的突出成果，给予明确的物质与精神奖励。</w:t>
      </w:r>
    </w:p>
    <w:p w14:paraId="04964459">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eastAsia" w:ascii="仿宋" w:hAnsi="仿宋" w:eastAsia="仿宋" w:cs="仿宋"/>
          <w:sz w:val="32"/>
          <w:szCs w:val="32"/>
          <w:lang w:val="en-US" w:eastAsia="zh-CN"/>
        </w:rPr>
      </w:pPr>
    </w:p>
    <w:p w14:paraId="40FBA0D4">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default" w:ascii="仿宋" w:hAnsi="仿宋" w:eastAsia="仿宋" w:cs="仿宋"/>
          <w:sz w:val="32"/>
          <w:szCs w:val="32"/>
          <w:lang w:val="en-US"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宋体"/>
    <w:panose1 w:val="02020603050405020304"/>
    <w:charset w:val="86"/>
    <w:family w:val="auto"/>
    <w:pitch w:val="default"/>
    <w:sig w:usb0="00000000" w:usb1="00000000"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黑体"/>
    <w:panose1 w:val="02010609060101010101"/>
    <w:charset w:val="86"/>
    <w:family w:val="auto"/>
    <w:pitch w:val="default"/>
    <w:sig w:usb0="800002BF" w:usb1="38CF7CFA" w:usb2="00000016" w:usb3="00000000" w:csb0="00040001" w:csb1="00000000"/>
    <w:embedRegular r:id="rId1" w:fontKey="{26A0038E-C7DE-41E6-BC23-FC6D9A69DF87}"/>
  </w:font>
  <w:font w:name="Courier New">
    <w:altName w:val="Arial"/>
    <w:panose1 w:val="02070309020205020404"/>
    <w:charset w:val="01"/>
    <w:family w:val="modern"/>
    <w:pitch w:val="default"/>
    <w:sig w:usb0="E0002AFF" w:usb1="C0007843" w:usb2="00000009" w:usb3="00000000" w:csb0="400001FF" w:csb1="FFFF0000"/>
  </w:font>
  <w:font w:name="Symbol">
    <w:altName w:val="MT Extr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embedRegular r:id="rId2" w:fontKey="{1D8ECBA5-24D4-4061-B4A9-22A7B2C562AC}"/>
  </w:font>
  <w:font w:name="微软雅黑">
    <w:panose1 w:val="020B0503020204020204"/>
    <w:charset w:val="86"/>
    <w:family w:val="swiss"/>
    <w:pitch w:val="default"/>
    <w:sig w:usb0="80000287" w:usb1="280F3C52" w:usb2="00000016" w:usb3="00000000" w:csb0="0004001F" w:csb1="00000000"/>
    <w:embedRegular r:id="rId3" w:fontKey="{A62848A5-E06E-4EDA-88A4-126991F73346}"/>
  </w:font>
  <w:font w:name="方正仿宋_GB2312">
    <w:panose1 w:val="02000000000000000000"/>
    <w:charset w:val="86"/>
    <w:family w:val="auto"/>
    <w:pitch w:val="default"/>
    <w:sig w:usb0="A00002BF" w:usb1="184F6CFA" w:usb2="00000012" w:usb3="00000000" w:csb0="00040001" w:csb1="00000000"/>
    <w:embedRegular r:id="rId4" w:fontKey="{DE94F1FE-20E6-4D18-AB09-A1A636B61258}"/>
  </w:font>
  <w:font w:name="方正楷体_GB2312">
    <w:panose1 w:val="02000000000000000000"/>
    <w:charset w:val="86"/>
    <w:family w:val="auto"/>
    <w:pitch w:val="default"/>
    <w:sig w:usb0="A00002BF" w:usb1="184F6CFA" w:usb2="00000012" w:usb3="00000000" w:csb0="00040001" w:csb1="00000000"/>
    <w:embedRegular r:id="rId5" w:fontKey="{17EA4416-C8E0-45A8-B985-B9D9BF5CD796}"/>
  </w:font>
  <w:font w:name="仿宋">
    <w:panose1 w:val="02010609060101010101"/>
    <w:charset w:val="86"/>
    <w:family w:val="modern"/>
    <w:pitch w:val="default"/>
    <w:sig w:usb0="800002BF" w:usb1="38CF7CFA" w:usb2="00000016" w:usb3="00000000" w:csb0="00040001" w:csb1="00000000"/>
    <w:embedRegular r:id="rId6" w:fontKey="{02C56DB9-B5F0-46C9-84AC-7FE746AD7441}"/>
  </w:font>
  <w:font w:name="WPSEMBED1">
    <w:panose1 w:val="02010609060101010101"/>
    <w:charset w:val="86"/>
    <w:family w:val="auto"/>
    <w:pitch w:val="default"/>
    <w:sig w:usb0="800002BF" w:usb1="38CF7CFA" w:usb2="00000016" w:usb3="00000000" w:csb0="00040001" w:csb1="00000000"/>
  </w:font>
  <w:font w:name="WPSEMBED2">
    <w:panose1 w:val="02010609060101010101"/>
    <w:charset w:val="86"/>
    <w:family w:val="auto"/>
    <w:pitch w:val="default"/>
    <w:sig w:usb0="800002BF" w:usb1="38CF7CFA" w:usb2="00000016" w:usb3="00000000" w:csb0="00040001" w:csb1="00000000"/>
  </w:font>
  <w:font w:name="MingLiU">
    <w:panose1 w:val="02020509000000000000"/>
    <w:charset w:val="88"/>
    <w:family w:val="auto"/>
    <w:pitch w:val="default"/>
    <w:sig w:usb0="A00002FF" w:usb1="28CFFCFA" w:usb2="00000016" w:usb3="00000000" w:csb0="00100001" w:csb1="00000000"/>
  </w:font>
  <w:font w:name="MT Extra">
    <w:panose1 w:val="05050102010205020202"/>
    <w:charset w:val="00"/>
    <w:family w:val="auto"/>
    <w:pitch w:val="default"/>
    <w:sig w:usb0="8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DB027">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9D02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E39D02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0C86D"/>
    <w:multiLevelType w:val="singleLevel"/>
    <w:tmpl w:val="05C0C86D"/>
    <w:lvl w:ilvl="0" w:tentative="0">
      <w:start w:val="1"/>
      <w:numFmt w:val="decimal"/>
      <w:suff w:val="nothing"/>
      <w:lvlText w:val="%1、"/>
      <w:lvlJc w:val="left"/>
    </w:lvl>
  </w:abstractNum>
  <w:abstractNum w:abstractNumId="1">
    <w:nsid w:val="474089FC"/>
    <w:multiLevelType w:val="singleLevel"/>
    <w:tmpl w:val="474089F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5D3EA1"/>
    <w:rsid w:val="03B80F88"/>
    <w:rsid w:val="04D330E5"/>
    <w:rsid w:val="057721FB"/>
    <w:rsid w:val="05ED1BE1"/>
    <w:rsid w:val="06476B4B"/>
    <w:rsid w:val="0854278F"/>
    <w:rsid w:val="085C15D4"/>
    <w:rsid w:val="089963F4"/>
    <w:rsid w:val="0B163D2C"/>
    <w:rsid w:val="0BB06E25"/>
    <w:rsid w:val="0BDB4AA2"/>
    <w:rsid w:val="126C49FB"/>
    <w:rsid w:val="148A47A3"/>
    <w:rsid w:val="183B4674"/>
    <w:rsid w:val="183C60FE"/>
    <w:rsid w:val="1DBC1FC3"/>
    <w:rsid w:val="1E344EFB"/>
    <w:rsid w:val="1E4748CD"/>
    <w:rsid w:val="1E74351A"/>
    <w:rsid w:val="1F817EB6"/>
    <w:rsid w:val="2096173F"/>
    <w:rsid w:val="225D3EA1"/>
    <w:rsid w:val="22912873"/>
    <w:rsid w:val="2B190553"/>
    <w:rsid w:val="2D46629B"/>
    <w:rsid w:val="2DC2524D"/>
    <w:rsid w:val="2ED757A1"/>
    <w:rsid w:val="387E4B3B"/>
    <w:rsid w:val="3A007735"/>
    <w:rsid w:val="3F1F73D8"/>
    <w:rsid w:val="3F4A7F61"/>
    <w:rsid w:val="3FE367A5"/>
    <w:rsid w:val="41AF2976"/>
    <w:rsid w:val="41B5055C"/>
    <w:rsid w:val="42B9518C"/>
    <w:rsid w:val="44EB4698"/>
    <w:rsid w:val="46A71480"/>
    <w:rsid w:val="474433F3"/>
    <w:rsid w:val="48726DCF"/>
    <w:rsid w:val="4CA73DB7"/>
    <w:rsid w:val="4F6767CD"/>
    <w:rsid w:val="530B7D4F"/>
    <w:rsid w:val="5AB91C41"/>
    <w:rsid w:val="5AD17926"/>
    <w:rsid w:val="5B351B55"/>
    <w:rsid w:val="60720F30"/>
    <w:rsid w:val="619E7E05"/>
    <w:rsid w:val="62356A2C"/>
    <w:rsid w:val="653E501D"/>
    <w:rsid w:val="6D602485"/>
    <w:rsid w:val="6EB04715"/>
    <w:rsid w:val="6FB33A61"/>
    <w:rsid w:val="710E21F8"/>
    <w:rsid w:val="71C95B62"/>
    <w:rsid w:val="72D5204A"/>
    <w:rsid w:val="74253AE1"/>
    <w:rsid w:val="7E835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2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黑体"/>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 w:type="paragraph" w:customStyle="1" w:styleId="16">
    <w:name w:val="样式1"/>
    <w:basedOn w:val="1"/>
    <w:next w:val="1"/>
    <w:qFormat/>
    <w:uiPriority w:val="0"/>
    <w:pPr>
      <w:keepNext/>
      <w:keepLines/>
      <w:spacing w:before="340" w:beforeLines="0" w:after="330" w:afterLines="0" w:line="576" w:lineRule="auto"/>
      <w:outlineLvl w:val="0"/>
    </w:pPr>
    <w:rPr>
      <w:rFonts w:hint="eastAsia" w:ascii="Times New Roman" w:hAnsi="Times New Roman"/>
      <w:b/>
      <w:kern w:val="44"/>
      <w:sz w:val="32"/>
    </w:rPr>
  </w:style>
  <w:style w:type="paragraph" w:customStyle="1" w:styleId="17">
    <w:name w:val="样式2"/>
    <w:basedOn w:val="1"/>
    <w:next w:val="1"/>
    <w:qFormat/>
    <w:uiPriority w:val="0"/>
    <w:pPr>
      <w:keepNext/>
      <w:keepLines/>
      <w:spacing w:before="340" w:beforeLines="0" w:after="330" w:afterLines="0" w:line="576" w:lineRule="auto"/>
      <w:outlineLvl w:val="0"/>
    </w:pPr>
    <w:rPr>
      <w:rFonts w:hint="eastAsia" w:ascii="Times New Roman" w:hAnsi="Times New Roman" w:eastAsia="黑体"/>
      <w:b/>
      <w:kern w:val="44"/>
      <w:sz w:val="32"/>
    </w:rPr>
  </w:style>
  <w:style w:type="paragraph" w:customStyle="1" w:styleId="18">
    <w:name w:val="标题1"/>
    <w:basedOn w:val="1"/>
    <w:next w:val="1"/>
    <w:qFormat/>
    <w:uiPriority w:val="0"/>
    <w:pPr>
      <w:keepNext/>
      <w:keepLines/>
      <w:spacing w:before="340" w:beforeLines="0" w:after="330" w:afterLines="0" w:line="576" w:lineRule="auto"/>
      <w:jc w:val="left"/>
      <w:outlineLvl w:val="0"/>
    </w:pPr>
    <w:rPr>
      <w:rFonts w:hint="eastAsia" w:ascii="Times New Roman" w:hAnsi="Times New Roman" w:eastAsia="黑体"/>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chart" Target="charts/chart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cap="all"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教师占比</a:t>
            </a:r>
          </a:p>
        </c:rich>
      </c:tx>
      <c:layout/>
      <c:overlay val="0"/>
      <c:spPr>
        <a:noFill/>
        <a:ln>
          <a:noFill/>
        </a:ln>
        <a:effectLst/>
      </c:spPr>
    </c:title>
    <c:autoTitleDeleted val="0"/>
    <c:plotArea>
      <c:layout>
        <c:manualLayout>
          <c:layoutTarget val="inner"/>
          <c:xMode val="edge"/>
          <c:yMode val="edge"/>
          <c:x val="0.275006040106306"/>
          <c:y val="0.166808329791755"/>
          <c:w val="0.44708866876057"/>
          <c:h val="0.786442838929027"/>
        </c:manualLayout>
      </c:layout>
      <c:pieChart>
        <c:varyColors val="1"/>
        <c:ser>
          <c:idx val="0"/>
          <c:order val="0"/>
          <c:tx>
            <c:strRef>
              <c:f>Sheet1!$B$1</c:f>
              <c:strCache>
                <c:ptCount val="1"/>
                <c:pt idx="0">
                  <c:v>教师占比</c:v>
                </c:pt>
              </c:strCache>
            </c:strRef>
          </c:tx>
          <c:spPr>
            <a:ln>
              <a:solidFill>
                <a:schemeClr val="bg1"/>
              </a:solidFill>
            </a:ln>
          </c:spPr>
          <c:explosion val="0"/>
          <c:dPt>
            <c:idx val="0"/>
            <c:bubble3D val="0"/>
            <c:explosion val="10"/>
            <c:spPr>
              <a:solidFill>
                <a:schemeClr val="accent1"/>
              </a:solidFill>
              <a:ln>
                <a:solidFill>
                  <a:schemeClr val="bg1"/>
                </a:solidFill>
              </a:ln>
              <a:effectLst>
                <a:glow rad="88900">
                  <a:schemeClr val="accent1">
                    <a:satMod val="175000"/>
                    <a:alpha val="40000"/>
                  </a:schemeClr>
                </a:glow>
              </a:effectLst>
            </c:spPr>
          </c:dPt>
          <c:dPt>
            <c:idx val="1"/>
            <c:bubble3D val="0"/>
            <c:spPr>
              <a:solidFill>
                <a:schemeClr val="accent2"/>
              </a:solidFill>
              <a:ln>
                <a:solidFill>
                  <a:schemeClr val="bg1"/>
                </a:solidFill>
              </a:ln>
              <a:effectLst>
                <a:glow rad="88900">
                  <a:schemeClr val="accent2">
                    <a:satMod val="175000"/>
                    <a:alpha val="40000"/>
                  </a:schemeClr>
                </a:glow>
              </a:effectLst>
            </c:spPr>
          </c:dPt>
          <c:dPt>
            <c:idx val="2"/>
            <c:bubble3D val="0"/>
            <c:spPr>
              <a:solidFill>
                <a:schemeClr val="accent3"/>
              </a:solidFill>
              <a:ln>
                <a:solidFill>
                  <a:schemeClr val="bg1"/>
                </a:solidFill>
              </a:ln>
              <a:effectLst>
                <a:glow rad="88900">
                  <a:schemeClr val="accent3">
                    <a:satMod val="175000"/>
                    <a:alpha val="40000"/>
                  </a:schemeClr>
                </a:glow>
              </a:effectLst>
            </c:spPr>
          </c:dPt>
          <c:dPt>
            <c:idx val="3"/>
            <c:bubble3D val="0"/>
            <c:spPr>
              <a:solidFill>
                <a:schemeClr val="accent4"/>
              </a:solidFill>
              <a:ln>
                <a:solidFill>
                  <a:schemeClr val="bg1"/>
                </a:solidFill>
              </a:ln>
              <a:effectLst>
                <a:glow rad="88900">
                  <a:schemeClr val="accent4">
                    <a:satMod val="175000"/>
                    <a:alpha val="40000"/>
                  </a:schemeClr>
                </a:glo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公共基础课教师</c:v>
                </c:pt>
                <c:pt idx="1">
                  <c:v>专业课教师</c:v>
                </c:pt>
                <c:pt idx="2">
                  <c:v>艺体教师</c:v>
                </c:pt>
                <c:pt idx="3">
                  <c:v>双师型教师</c:v>
                </c:pt>
              </c:strCache>
            </c:strRef>
          </c:cat>
          <c:val>
            <c:numRef>
              <c:f>Sheet1!$B$2:$B$5</c:f>
              <c:numCache>
                <c:formatCode>0.00%</c:formatCode>
                <c:ptCount val="4"/>
                <c:pt idx="0">
                  <c:v>0.348</c:v>
                </c:pt>
                <c:pt idx="1">
                  <c:v>0.333</c:v>
                </c:pt>
                <c:pt idx="2">
                  <c:v>0.045</c:v>
                </c:pt>
                <c:pt idx="3">
                  <c:v>0.273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477ee3e-3d84-43fb-a553-7653c33b8af6}"/>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5">
    <a:dk1>
      <a:srgbClr val="000000"/>
    </a:dk1>
    <a:lt1>
      <a:srgbClr val="FFFFFF"/>
    </a:lt1>
    <a:dk2>
      <a:srgbClr val="44546A"/>
    </a:dk2>
    <a:lt2>
      <a:srgbClr val="E7E6E6"/>
    </a:lt2>
    <a:accent1>
      <a:srgbClr val="3CB8EC"/>
    </a:accent1>
    <a:accent2>
      <a:srgbClr val="77D1E8"/>
    </a:accent2>
    <a:accent3>
      <a:srgbClr val="FAC114"/>
    </a:accent3>
    <a:accent4>
      <a:srgbClr val="FE961C"/>
    </a:accent4>
    <a:accent5>
      <a:srgbClr val="E15441"/>
    </a:accent5>
    <a:accent6>
      <a:srgbClr val="6775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5928540b-3571-46c8-8ba4-97c407563067</errorID>
      <errorWord>详实</errorWord>
      <group>L1_Word</group>
      <groupName>字词问题</groupName>
      <ability>L2_Typo</ability>
      <abilityName>字词错误</abilityName>
      <candidateList>
        <item>翔实</item>
      </candidateList>
      <explain/>
      <paraID>2EC996A6</paraID>
      <start>39</start>
      <end>41</end>
      <status>unmodified</status>
      <modifiedWord/>
      <trackRevisions>false</trackRevisions>
    </reviewItem>
    <reviewItem>
      <errorID>ff4e0067-2c3f-401d-9638-1679c54ee87e</errorID>
      <errorWord>“双师型” 教师</errorWord>
      <group>L1_Political</group>
      <groupName>政治性问题</groupName>
      <ability>L2_Keyword</ability>
      <abilityName>固定表述</abilityName>
      <candidateList>
        <item>“双师型”教师</item>
      </candidateList>
      <explain>词汇““双师型”教师”在特定场景下为固定表述形式，请确认此处的““双师型” 教师”是否存在不当。</explain>
      <paraID>126B4B05</paraID>
      <start>57</start>
      <end>65</end>
      <status>unmodified</status>
      <modifiedWord/>
      <trackRevisions>false</trackRevisions>
    </reviewItem>
    <reviewItem>
      <errorID>d9bf3aef-f2ed-489d-874a-af8062e6e7b5</errorID>
      <errorWord>（</errorWord>
      <group>L1_Format</group>
      <groupName>格式问题</groupName>
      <ability>L2_HalfPunc</ability>
      <abilityName>全半角检查</abilityName>
      <candidateList>
        <item>(</item>
      </candidateList>
      <explain>文本全半角错误。</explain>
      <paraID>26E7A115</paraID>
      <start>2</start>
      <end>3</end>
      <status>unmodified</status>
      <modifiedWord/>
      <trackRevisions>false</trackRevisions>
    </reviewItem>
    <reviewItem>
      <errorID>2baa20be-04eb-451c-94ab-48bd4c205143</errorID>
      <errorWord>）</errorWord>
      <group>L1_Format</group>
      <groupName>格式问题</groupName>
      <ability>L2_HalfPunc</ability>
      <abilityName>全半角检查</abilityName>
      <candidateList>
        <item>)</item>
      </candidateList>
      <explain>文本全半角错误。</explain>
      <paraID>26E7A115</paraID>
      <start>4</start>
      <end>5</end>
      <status>unmodified</status>
      <modifiedWord/>
      <trackRevisions>false</trackRevisions>
    </reviewItem>
    <reviewItem>
      <errorID>cc0cee91-57e4-471d-bd0c-f19526ada9ec</errorID>
      <errorWord>立德树人的根本任务</errorWord>
      <group>L1_Political</group>
      <groupName>政治性问题</groupName>
      <ability>L2_Keyword</ability>
      <abilityName>固定表述</abilityName>
      <candidateList>
        <item>立德树人根本任务</item>
      </candidateList>
      <explain>词汇“立德树人根本任务”在特定场景下为固定表述形式，请确认此处的“立德树人的根本任务”是否存在不当。</explain>
      <paraID>10A5FE2C</paraID>
      <start>47</start>
      <end>55</end>
      <status>modified</status>
      <modifiedWord>立德树人根本任务</modifiedWord>
      <trackRevisions>false</trackRevisions>
    </reviewItem>
    <reviewItem>
      <errorID>cf9a9c18-54fa-4daa-a758-7fa608c0a606</errorID>
      <errorWord>课</errorWord>
      <group>L1_Word</group>
      <groupName>字词问题</groupName>
      <ability>L2_Typo</ability>
      <abilityName>字词错误</abilityName>
      <candidateList>
        <item>课程</item>
      </candidateList>
      <explain/>
      <paraID>7669AD9C</paraID>
      <start>59</start>
      <end>60</end>
      <status>unmodified</status>
      <modifiedWord/>
      <trackRevisions>false</trackRevisions>
    </reviewItem>
    <reviewItem>
      <errorID>d6111b3e-54af-4f16-ad0d-4c011cf66b67</errorID>
      <errorWord>超</errorWord>
      <group>L1_Word</group>
      <groupName>字词问题</groupName>
      <ability>L2_Typo</ability>
      <abilityName>字词错误</abilityName>
      <candidateList>
        <item>超过</item>
      </candidateList>
      <explain/>
      <paraID> 3C51F5A</paraID>
      <start>121</start>
      <end>122</end>
      <status>unmodified</status>
      <modifiedWord/>
      <trackRevisions>false</trackRevisions>
    </reviewItem>
    <reviewItem>
      <errorID>a221b97f-7440-4336-ae69-15454c0415f4</errorID>
      <errorWord>，</errorWord>
      <group>L1_Word</group>
      <groupName>字词问题</groupName>
      <ability>L2_Typo</ability>
      <abilityName>字词错误</abilityName>
      <candidateList>
        <item>，在</item>
      </candidateList>
      <explain/>
      <paraID>69659DAB</paraID>
      <start>24</start>
      <end>25</end>
      <status>unmodified</status>
      <modifiedWord/>
      <trackRevisions>false</trackRevisions>
    </reviewItem>
    <reviewItem>
      <errorID>cdbf6454-8496-42c2-a2a0-c44431b2d996</errorID>
      <errorWord>职业教育法</errorWord>
      <group>L1_Knowledge</group>
      <groupName>知识性问题</groupName>
      <ability>L2_Knowledge</ability>
      <abilityName>其他知识</abilityName>
      <candidateList>
        <item>中华人民共和国职业教育法</item>
      </candidateList>
      <explain>当前法律法规名称使用简称，请注意是否应当使用全称。</explain>
      <paraID>38ECA14B</paraID>
      <start>9</start>
      <end>14</end>
      <status>unmodified</status>
      <modifiedWord/>
      <trackRevisions>false</trackRevisions>
    </reviewItem>
    <reviewItem>
      <errorID>2bdba5dc-2005-41e3-afc4-a19c56762da9</errorID>
      <errorWord>,</errorWord>
      <group>L1_Format</group>
      <groupName>格式问题</groupName>
      <ability>L2_HalfPunc</ability>
      <abilityName>全半角检查</abilityName>
      <candidateList>
        <item>，</item>
      </candidateList>
      <explain>文本全半角错误。</explain>
      <paraID> 6EE1416</paraID>
      <start>69</start>
      <end>70</end>
      <status>unmodified</status>
      <modifiedWord/>
      <trackRevisions>false</trackRevisions>
    </reviewItem>
    <reviewItem>
      <errorID>b822ca0c-865e-447d-8b88-554f86265917</errorID>
      <errorWord>(</errorWord>
      <group>L1_Format</group>
      <groupName>格式问题</groupName>
      <ability>L2_HalfPunc</ability>
      <abilityName>全半角检查</abilityName>
      <candidateList>
        <item>（</item>
      </candidateList>
      <explain>文本全半角错误。</explain>
      <paraID> 6EE1416</paraID>
      <start>124</start>
      <end>125</end>
      <status>unmodified</status>
      <modifiedWord/>
      <trackRevisions>false</trackRevisions>
    </reviewItem>
    <reviewItem>
      <errorID>68a283d6-cedf-4077-9ff8-dc5a1db1c489</errorID>
      <errorWord>)</errorWord>
      <group>L1_Format</group>
      <groupName>格式问题</groupName>
      <ability>L2_HalfPunc</ability>
      <abilityName>全半角检查</abilityName>
      <candidateList>
        <item>）</item>
      </candidateList>
      <explain>文本全半角错误。</explain>
      <paraID> 6EE1416</paraID>
      <start>128</start>
      <end>129</end>
      <status>unmodified</status>
      <modifiedWord/>
      <trackRevisions>false</trackRevisions>
    </reviewItem>
    <reviewItem>
      <errorID>2d5ba4b5-29bb-4a81-8d8e-59c06a1d322f</errorID>
      <errorWord>.</errorWord>
      <group>L1_Format</group>
      <groupName>格式问题</groupName>
      <ability>L2_HalfPunc</ability>
      <abilityName>全半角检查</abilityName>
      <candidateList>
        <item>。</item>
      </candidateList>
      <explain>文本全半角错误。</explain>
      <paraID> 6EE1416</paraID>
      <start>172</start>
      <end>173</end>
      <status>unmodified</status>
      <modifiedWord/>
      <trackRevisions>false</trackRevisions>
    </reviewItem>
    <reviewItem>
      <errorID>0d6edbd9-9a33-4425-99b6-9525f4dc7375</errorID>
      <errorWord>.</errorWord>
      <group>L1_Format</group>
      <groupName>格式问题</groupName>
      <ability>L2_HalfPunc</ability>
      <abilityName>全半角检查</abilityName>
      <candidateList>
        <item>。</item>
      </candidateList>
      <explain>文本全半角错误。</explain>
      <paraID>79F9736E</paraID>
      <start>93</start>
      <end>94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8421b-e6ee-46d7-b6c5-bc1872ae5bc5}">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1494</Words>
  <Characters>1812</Characters>
  <Lines>0</Lines>
  <Paragraphs>0</Paragraphs>
  <TotalTime>175</TotalTime>
  <ScaleCrop>false</ScaleCrop>
  <LinksUpToDate>false</LinksUpToDate>
  <CharactersWithSpaces>2046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2025-11-27T06:28:00Z</dcterms:created>
  <dc:creator>咸阳协和职业学校</dc:creator>
  <cp:lastModifiedBy>咸阳协和职业学校</cp:lastModifiedBy>
  <dcterms:modified xsi:type="dcterms:W3CDTF">2025-12-15T03:56:41Z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56E79FA980504A7C929353E8B282F826_13</vt:lpwstr>
  </property>
  <property fmtid="{D5CDD505-2E9C-101B-9397-08002B2CF9AE}" pid="4" name="KSOTemplateDocerSaveRecord">
    <vt:lpwstr>eyJoZGlkIjoiN2RiZmVkNmFlZmQ5YTI0ODFkZDNlMDA1ODA1MDllZTIiLCJ1c2VySWQiOiIxNjU2OTQzMzc1In0=</vt:lpwstr>
  </property>
</Properties>
</file>